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0E20" w14:textId="77777777" w:rsidR="00E57460" w:rsidRPr="00E57460" w:rsidRDefault="00E57460" w:rsidP="00E57460">
      <w:r w:rsidRPr="00E57460">
        <w:t xml:space="preserve">Title: </w:t>
      </w:r>
      <w:r w:rsidRPr="00E57460">
        <w:rPr>
          <w:b/>
          <w:bCs/>
        </w:rPr>
        <w:t>Economic Environmental Optimization in Multiple Renewable Energy Sources with Demand Response based on Multi-Objective Optimization Algorithm</w:t>
      </w:r>
      <w:r w:rsidRPr="00E57460">
        <w:t xml:space="preserve"> </w:t>
      </w:r>
    </w:p>
    <w:p w14:paraId="0ED6AA62" w14:textId="77777777" w:rsidR="00E57460" w:rsidRPr="00E57460" w:rsidRDefault="00E57460" w:rsidP="00E57460">
      <w:r w:rsidRPr="00E57460">
        <w:t xml:space="preserve">Journal: </w:t>
      </w:r>
      <w:r w:rsidRPr="00E57460">
        <w:rPr>
          <w:b/>
          <w:bCs/>
        </w:rPr>
        <w:t>International Journal of Renewable Energy Development</w:t>
      </w:r>
      <w:r w:rsidRPr="00E57460">
        <w:t xml:space="preserve">   </w:t>
      </w:r>
    </w:p>
    <w:p w14:paraId="5C533363" w14:textId="77777777" w:rsidR="00E57460" w:rsidRDefault="00E57460"/>
    <w:p w14:paraId="7EE7493C" w14:textId="77777777" w:rsidR="00E57460" w:rsidRPr="00E57460" w:rsidRDefault="00E57460" w:rsidP="00E57460">
      <w:r w:rsidRPr="00E57460">
        <w:t>Reviewer A:</w:t>
      </w:r>
    </w:p>
    <w:p w14:paraId="09F16EB2" w14:textId="77777777" w:rsidR="00E57460" w:rsidRPr="00E57460" w:rsidRDefault="00E57460" w:rsidP="00E57460"/>
    <w:p w14:paraId="0E306BB9" w14:textId="77777777" w:rsidR="00E57460" w:rsidRPr="00E57460" w:rsidRDefault="00E57460" w:rsidP="00E57460">
      <w:r w:rsidRPr="00E57460">
        <w:t>The manuscript presents a comprehensive multi-objective optimization (MOO) framework integrating PV, wind, BESS, EV, DR, and Hydrogen Turbines (HT). While the topic is relevant and the technical approach is sound, several critical areas require substantial improvement before the paper can be considered for publication.</w:t>
      </w:r>
    </w:p>
    <w:p w14:paraId="3173E3A7" w14:textId="149F7EAE" w:rsidR="00E57460" w:rsidRPr="00E57460" w:rsidRDefault="00E57460" w:rsidP="00E57460"/>
    <w:p w14:paraId="53E8483B" w14:textId="22008C9A" w:rsidR="00E57460" w:rsidRPr="00E57460" w:rsidRDefault="00E57460" w:rsidP="006F7EA2">
      <w:r w:rsidRPr="00E57460">
        <w:t>Reviewer Comments and Arguments</w:t>
      </w:r>
    </w:p>
    <w:p w14:paraId="1127D348" w14:textId="77777777" w:rsidR="00E57460" w:rsidRPr="00594381" w:rsidRDefault="00E57460" w:rsidP="00E57460">
      <w:pPr>
        <w:rPr>
          <w:b/>
          <w:bCs/>
        </w:rPr>
      </w:pPr>
      <w:r w:rsidRPr="00594381">
        <w:rPr>
          <w:b/>
          <w:bCs/>
        </w:rPr>
        <w:t>1. Technical Clarification and Mathematical Rigor</w:t>
      </w:r>
    </w:p>
    <w:tbl>
      <w:tblPr>
        <w:tblStyle w:val="TableGrid"/>
        <w:tblW w:w="0" w:type="auto"/>
        <w:tblLook w:val="04A0" w:firstRow="1" w:lastRow="0" w:firstColumn="1" w:lastColumn="0" w:noHBand="0" w:noVBand="1"/>
      </w:tblPr>
      <w:tblGrid>
        <w:gridCol w:w="9350"/>
      </w:tblGrid>
      <w:tr w:rsidR="006F7EA2" w14:paraId="5A1F4D2D" w14:textId="77777777" w:rsidTr="006F7EA2">
        <w:tc>
          <w:tcPr>
            <w:tcW w:w="9350" w:type="dxa"/>
            <w:shd w:val="clear" w:color="auto" w:fill="FFF2CC" w:themeFill="accent4" w:themeFillTint="33"/>
          </w:tcPr>
          <w:p w14:paraId="3C03DD59" w14:textId="0A6E14B3" w:rsidR="006F7EA2" w:rsidRPr="006F7EA2" w:rsidRDefault="006F7EA2" w:rsidP="006F7EA2">
            <w:pPr>
              <w:rPr>
                <w:b/>
                <w:bCs/>
              </w:rPr>
            </w:pPr>
            <w:r w:rsidRPr="006F7EA2">
              <w:rPr>
                <w:b/>
                <w:bCs/>
              </w:rPr>
              <w:t>Comment:</w:t>
            </w:r>
          </w:p>
          <w:p w14:paraId="1E6D1730" w14:textId="6AEDB349" w:rsidR="006F7EA2" w:rsidRDefault="006F7EA2" w:rsidP="00783539">
            <w:pPr>
              <w:jc w:val="both"/>
            </w:pPr>
            <w:r w:rsidRPr="00E57460">
              <w:t>• Battery Constraints: Equation (4) describes the State of Charge (SOC). However, the manuscript must clarify the physical meaning of E{us} and E_{</w:t>
            </w:r>
            <w:proofErr w:type="spellStart"/>
            <w:r w:rsidRPr="00E57460">
              <w:t>usa</w:t>
            </w:r>
            <w:proofErr w:type="spellEnd"/>
            <w:r w:rsidRPr="00E57460">
              <w:t>} used in the denominator. Are these total capacity or usable capacity? Consistency in notation is required.</w:t>
            </w:r>
          </w:p>
        </w:tc>
      </w:tr>
      <w:tr w:rsidR="006F7EA2" w14:paraId="2AD2B440" w14:textId="77777777" w:rsidTr="00783539">
        <w:tc>
          <w:tcPr>
            <w:tcW w:w="9350" w:type="dxa"/>
            <w:shd w:val="clear" w:color="auto" w:fill="F9CEFA"/>
          </w:tcPr>
          <w:p w14:paraId="7B5555CE" w14:textId="77777777" w:rsidR="006F7EA2" w:rsidRPr="006F7EA2" w:rsidRDefault="006F7EA2" w:rsidP="00E57460">
            <w:pPr>
              <w:rPr>
                <w:b/>
                <w:bCs/>
              </w:rPr>
            </w:pPr>
            <w:r w:rsidRPr="006F7EA2">
              <w:rPr>
                <w:b/>
                <w:bCs/>
              </w:rPr>
              <w:t>Response:</w:t>
            </w:r>
          </w:p>
          <w:p w14:paraId="7DE08EC9" w14:textId="3E23AA78" w:rsidR="006F7EA2" w:rsidRPr="006F7EA2" w:rsidRDefault="000B1A96" w:rsidP="001F1D75">
            <w:pPr>
              <w:spacing w:line="360" w:lineRule="auto"/>
              <w:jc w:val="both"/>
              <w:rPr>
                <w:b/>
                <w:bCs/>
              </w:rPr>
            </w:pPr>
            <w:r>
              <w:t xml:space="preserve">Thank you for pointing out the ambiguity in the SOC notation. In Eq. (4), </w:t>
            </w:r>
            <m:oMath>
              <m:sSub>
                <m:sSubPr>
                  <m:ctrlPr>
                    <w:rPr>
                      <w:rFonts w:ascii="Cambria Math" w:hAnsi="Cambria Math"/>
                    </w:rPr>
                  </m:ctrlPr>
                </m:sSubPr>
                <m:e>
                  <m:r>
                    <w:rPr>
                      <w:rFonts w:ascii="Cambria Math" w:hAnsi="Cambria Math"/>
                    </w:rPr>
                    <m:t>E</m:t>
                  </m:r>
                </m:e>
                <m:sub>
                  <m:r>
                    <w:rPr>
                      <w:rFonts w:ascii="Cambria Math" w:hAnsi="Cambria Math"/>
                    </w:rPr>
                    <m:t>us</m:t>
                  </m:r>
                </m:sub>
              </m:sSub>
            </m:oMath>
            <w:r w:rsidR="001F1D75">
              <w:rPr>
                <w:rFonts w:eastAsiaTheme="minorEastAsia"/>
              </w:rPr>
              <w:t xml:space="preserve"> </w:t>
            </w:r>
            <w:r>
              <w:t xml:space="preserve">was a </w:t>
            </w:r>
            <w:r w:rsidR="001F1D75">
              <w:t>typing mistake</w:t>
            </w:r>
            <w:r>
              <w:t xml:space="preserve">; we corrected it to </w:t>
            </w:r>
            <m:oMath>
              <m:sSub>
                <m:sSubPr>
                  <m:ctrlPr>
                    <w:rPr>
                      <w:rFonts w:ascii="Cambria Math" w:hAnsi="Cambria Math"/>
                    </w:rPr>
                  </m:ctrlPr>
                </m:sSubPr>
                <m:e>
                  <m:r>
                    <w:rPr>
                      <w:rFonts w:ascii="Cambria Math" w:hAnsi="Cambria Math"/>
                    </w:rPr>
                    <m:t>E</m:t>
                  </m:r>
                </m:e>
                <m:sub>
                  <m:r>
                    <w:rPr>
                      <w:rFonts w:ascii="Cambria Math" w:hAnsi="Cambria Math"/>
                    </w:rPr>
                    <m:t>usa</m:t>
                  </m:r>
                </m:sub>
              </m:sSub>
            </m:oMath>
            <w:r w:rsidR="001F1D75">
              <w:rPr>
                <w:rFonts w:eastAsiaTheme="minorEastAsia"/>
              </w:rPr>
              <w:t xml:space="preserve"> </w:t>
            </w:r>
            <w:r>
              <w:t xml:space="preserve">to ensure consistent notation. We also clarified that </w:t>
            </w:r>
            <m:oMath>
              <m:sSub>
                <m:sSubPr>
                  <m:ctrlPr>
                    <w:rPr>
                      <w:rFonts w:ascii="Cambria Math" w:hAnsi="Cambria Math"/>
                    </w:rPr>
                  </m:ctrlPr>
                </m:sSubPr>
                <m:e>
                  <m:r>
                    <w:rPr>
                      <w:rFonts w:ascii="Cambria Math" w:hAnsi="Cambria Math"/>
                    </w:rPr>
                    <m:t>E</m:t>
                  </m:r>
                </m:e>
                <m:sub>
                  <m:r>
                    <w:rPr>
                      <w:rFonts w:ascii="Cambria Math" w:hAnsi="Cambria Math"/>
                    </w:rPr>
                    <m:t>usa</m:t>
                  </m:r>
                </m:sub>
              </m:sSub>
            </m:oMath>
            <w:r w:rsidR="001F1D75">
              <w:rPr>
                <w:rFonts w:eastAsiaTheme="minorEastAsia"/>
              </w:rPr>
              <w:t xml:space="preserve"> just </w:t>
            </w:r>
            <w:r>
              <w:t>represents the</w:t>
            </w:r>
            <w:r w:rsidRPr="001F1D75">
              <w:t xml:space="preserve"> </w:t>
            </w:r>
            <w:r w:rsidRPr="001F1D75">
              <w:rPr>
                <w:rStyle w:val="Strong"/>
                <w:b w:val="0"/>
                <w:bCs w:val="0"/>
              </w:rPr>
              <w:t>usable</w:t>
            </w:r>
            <w:r>
              <w:t xml:space="preserve"> battery energy capacity (kWh) (not capacity) used in </w:t>
            </w:r>
            <w:r w:rsidR="001F1D75">
              <w:t>Eq. (4)</w:t>
            </w:r>
          </w:p>
        </w:tc>
      </w:tr>
      <w:tr w:rsidR="006F7EA2" w14:paraId="3E094ACA" w14:textId="77777777" w:rsidTr="009A1C96">
        <w:trPr>
          <w:trHeight w:val="1331"/>
        </w:trPr>
        <w:tc>
          <w:tcPr>
            <w:tcW w:w="9350" w:type="dxa"/>
            <w:shd w:val="clear" w:color="auto" w:fill="E2EFD9" w:themeFill="accent6" w:themeFillTint="33"/>
          </w:tcPr>
          <w:p w14:paraId="546BD42C" w14:textId="77777777" w:rsidR="006F7EA2" w:rsidRDefault="006F7EA2" w:rsidP="00E57460">
            <w:pPr>
              <w:rPr>
                <w:b/>
                <w:bCs/>
                <w:color w:val="EE0000"/>
              </w:rPr>
            </w:pPr>
            <w:r w:rsidRPr="00783539">
              <w:rPr>
                <w:b/>
                <w:bCs/>
                <w:color w:val="EE0000"/>
              </w:rPr>
              <w:t>Action:</w:t>
            </w:r>
          </w:p>
          <w:p w14:paraId="438DE51D" w14:textId="77777777" w:rsidR="00AC23A1" w:rsidRPr="00D051CB" w:rsidRDefault="00D051CB" w:rsidP="00E57460">
            <w:pPr>
              <w:rPr>
                <w:rFonts w:eastAsiaTheme="minorEastAsia"/>
                <w:sz w:val="18"/>
                <w:szCs w:val="18"/>
              </w:rPr>
            </w:pPr>
            <m:oMathPara>
              <m:oMathParaPr>
                <m:jc m:val="left"/>
              </m:oMathParaPr>
              <m:oMath>
                <m:r>
                  <w:rPr>
                    <w:rFonts w:ascii="Cambria Math" w:hAnsi="Cambria Math"/>
                    <w:sz w:val="18"/>
                    <w:szCs w:val="18"/>
                  </w:rPr>
                  <m:t>SOC</m:t>
                </m:r>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+1)=</m:t>
                </m:r>
                <m:r>
                  <w:rPr>
                    <w:rFonts w:ascii="Cambria Math" w:hAnsi="Cambria Math"/>
                    <w:sz w:val="18"/>
                    <w:szCs w:val="18"/>
                  </w:rPr>
                  <m:t>SOC</m:t>
                </m:r>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P</m:t>
                        </m:r>
                      </m:e>
                      <m:sub>
                        <m:r>
                          <m:rPr>
                            <m:sty m:val="p"/>
                          </m:rPr>
                          <w:rPr>
                            <w:rFonts w:ascii="Cambria Math" w:hAnsi="Cambria Math"/>
                            <w:sz w:val="18"/>
                            <w:szCs w:val="18"/>
                          </w:rPr>
                          <m:t>ch</m:t>
                        </m:r>
                      </m:sub>
                    </m:sSub>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t</m:t>
                        </m:r>
                      </m:e>
                      <m:sub>
                        <m:r>
                          <m:rPr>
                            <m:sty m:val="p"/>
                          </m:rPr>
                          <w:rPr>
                            <w:rFonts w:ascii="Cambria Math" w:hAnsi="Cambria Math"/>
                            <w:sz w:val="18"/>
                            <w:szCs w:val="18"/>
                          </w:rPr>
                          <m:t>ch</m:t>
                        </m:r>
                      </m:sub>
                    </m:sSub>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η</m:t>
                        </m:r>
                      </m:e>
                      <m:sub>
                        <m:r>
                          <m:rPr>
                            <m:sty m:val="p"/>
                          </m:rPr>
                          <w:rPr>
                            <w:rFonts w:ascii="Cambria Math" w:hAnsi="Cambria Math"/>
                            <w:sz w:val="18"/>
                            <w:szCs w:val="18"/>
                          </w:rPr>
                          <m:t>ch</m:t>
                        </m:r>
                      </m:sub>
                    </m:sSub>
                  </m:num>
                  <m:den>
                    <m:sSub>
                      <m:sSubPr>
                        <m:ctrlPr>
                          <w:rPr>
                            <w:rFonts w:ascii="Cambria Math" w:hAnsi="Cambria Math"/>
                            <w:sz w:val="18"/>
                            <w:szCs w:val="18"/>
                            <w:highlight w:val="yellow"/>
                          </w:rPr>
                        </m:ctrlPr>
                      </m:sSubPr>
                      <m:e>
                        <m:r>
                          <w:rPr>
                            <w:rFonts w:ascii="Cambria Math" w:hAnsi="Cambria Math"/>
                            <w:sz w:val="18"/>
                            <w:szCs w:val="18"/>
                            <w:highlight w:val="yellow"/>
                          </w:rPr>
                          <m:t>E</m:t>
                        </m:r>
                      </m:e>
                      <m:sub>
                        <m:r>
                          <m:rPr>
                            <m:nor/>
                          </m:rPr>
                          <w:rPr>
                            <w:rFonts w:ascii="Amasis MT Pro" w:hAnsi="Amasis MT Pro"/>
                            <w:sz w:val="18"/>
                            <w:szCs w:val="18"/>
                            <w:highlight w:val="yellow"/>
                          </w:rPr>
                          <m:t>us</m:t>
                        </m:r>
                        <m:r>
                          <m:rPr>
                            <m:nor/>
                          </m:rPr>
                          <w:rPr>
                            <w:rFonts w:ascii="Cambria Math" w:hAnsi="Amasis MT Pro"/>
                            <w:sz w:val="18"/>
                            <w:szCs w:val="18"/>
                            <w:highlight w:val="yellow"/>
                          </w:rPr>
                          <m:t>a</m:t>
                        </m:r>
                      </m:sub>
                    </m:sSub>
                  </m:den>
                </m:f>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P</m:t>
                        </m:r>
                      </m:e>
                      <m:sub>
                        <m:r>
                          <m:rPr>
                            <m:nor/>
                          </m:rPr>
                          <w:rPr>
                            <w:rFonts w:ascii="Amasis MT Pro" w:hAnsi="Amasis MT Pro"/>
                            <w:sz w:val="18"/>
                            <w:szCs w:val="18"/>
                          </w:rPr>
                          <m:t>dis</m:t>
                        </m:r>
                      </m:sub>
                    </m:sSub>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t</m:t>
                        </m:r>
                      </m:e>
                      <m:sub>
                        <m:r>
                          <m:rPr>
                            <m:nor/>
                          </m:rPr>
                          <w:rPr>
                            <w:rFonts w:ascii="Amasis MT Pro" w:hAnsi="Amasis MT Pro"/>
                            <w:sz w:val="18"/>
                            <w:szCs w:val="18"/>
                          </w:rPr>
                          <m:t>dis</m:t>
                        </m:r>
                      </m:sub>
                    </m:sSub>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m:t>
                    </m:r>
                  </m:num>
                  <m:den>
                    <m:sSub>
                      <m:sSubPr>
                        <m:ctrlPr>
                          <w:rPr>
                            <w:rFonts w:ascii="Cambria Math" w:hAnsi="Cambria Math"/>
                            <w:sz w:val="18"/>
                            <w:szCs w:val="18"/>
                          </w:rPr>
                        </m:ctrlPr>
                      </m:sSubPr>
                      <m:e>
                        <m:r>
                          <w:rPr>
                            <w:rFonts w:ascii="Cambria Math" w:hAnsi="Cambria Math"/>
                            <w:sz w:val="18"/>
                            <w:szCs w:val="18"/>
                          </w:rPr>
                          <m:t>E</m:t>
                        </m:r>
                      </m:e>
                      <m:sub>
                        <m:r>
                          <m:rPr>
                            <m:nor/>
                          </m:rPr>
                          <w:rPr>
                            <w:rFonts w:ascii="Amasis MT Pro" w:hAnsi="Amasis MT Pro"/>
                            <w:sz w:val="18"/>
                            <w:szCs w:val="18"/>
                          </w:rPr>
                          <m:t>usa</m:t>
                        </m:r>
                      </m:sub>
                    </m:sSub>
                    <m:sSub>
                      <m:sSubPr>
                        <m:ctrlPr>
                          <w:rPr>
                            <w:rFonts w:ascii="Cambria Math" w:hAnsi="Cambria Math"/>
                            <w:sz w:val="18"/>
                            <w:szCs w:val="18"/>
                          </w:rPr>
                        </m:ctrlPr>
                      </m:sSubPr>
                      <m:e>
                        <m:r>
                          <w:rPr>
                            <w:rFonts w:ascii="Cambria Math" w:hAnsi="Cambria Math"/>
                            <w:sz w:val="18"/>
                            <w:szCs w:val="18"/>
                          </w:rPr>
                          <m:t>η</m:t>
                        </m:r>
                      </m:e>
                      <m:sub>
                        <m:r>
                          <m:rPr>
                            <m:nor/>
                          </m:rPr>
                          <w:rPr>
                            <w:rFonts w:ascii="Amasis MT Pro" w:hAnsi="Amasis MT Pro"/>
                            <w:sz w:val="18"/>
                            <w:szCs w:val="18"/>
                          </w:rPr>
                          <m:t>dis</m:t>
                        </m:r>
                      </m:sub>
                    </m:sSub>
                  </m:den>
                </m:f>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P</m:t>
                        </m:r>
                      </m:e>
                      <m:sub>
                        <m:r>
                          <m:rPr>
                            <m:nor/>
                          </m:rPr>
                          <w:rPr>
                            <w:rFonts w:ascii="Amasis MT Pro" w:hAnsi="Amasis MT Pro"/>
                            <w:sz w:val="18"/>
                            <w:szCs w:val="18"/>
                          </w:rPr>
                          <m:t>sf </m:t>
                        </m:r>
                        <m:r>
                          <m:rPr>
                            <m:sty m:val="p"/>
                          </m:rPr>
                          <w:rPr>
                            <w:rFonts w:ascii="Cambria Math" w:hAnsi="Cambria Math"/>
                            <w:sz w:val="18"/>
                            <w:szCs w:val="18"/>
                          </w:rPr>
                          <m:t>-</m:t>
                        </m:r>
                        <m:r>
                          <m:rPr>
                            <m:nor/>
                          </m:rPr>
                          <w:rPr>
                            <w:rFonts w:ascii="Amasis MT Pro" w:hAnsi="Amasis MT Pro"/>
                            <w:sz w:val="18"/>
                            <w:szCs w:val="18"/>
                          </w:rPr>
                          <m:t> dis </m:t>
                        </m:r>
                      </m:sub>
                    </m:sSub>
                    <m:r>
                      <m:rPr>
                        <m:sty m:val="p"/>
                      </m:rPr>
                      <w:rPr>
                        <w:rFonts w:ascii="Cambria Math" w:hAnsi="Cambria Math"/>
                        <w:sz w:val="18"/>
                        <w:szCs w:val="18"/>
                      </w:rPr>
                      <m:t>(</m:t>
                    </m:r>
                    <m:r>
                      <w:rPr>
                        <w:rFonts w:ascii="Cambria Math" w:hAnsi="Cambria Math"/>
                        <w:sz w:val="18"/>
                        <w:szCs w:val="18"/>
                      </w:rPr>
                      <m:t>i</m:t>
                    </m:r>
                    <m:r>
                      <m:rPr>
                        <m:sty m:val="p"/>
                      </m:rPr>
                      <w:rPr>
                        <w:rFonts w:ascii="Cambria Math" w:hAnsi="Cambria Math"/>
                        <w:sz w:val="18"/>
                        <w:szCs w:val="18"/>
                      </w:rPr>
                      <m:t>)</m:t>
                    </m:r>
                  </m:num>
                  <m:den>
                    <m:sSub>
                      <m:sSubPr>
                        <m:ctrlPr>
                          <w:rPr>
                            <w:rFonts w:ascii="Cambria Math" w:hAnsi="Cambria Math"/>
                            <w:sz w:val="18"/>
                            <w:szCs w:val="18"/>
                          </w:rPr>
                        </m:ctrlPr>
                      </m:sSubPr>
                      <m:e>
                        <m:r>
                          <w:rPr>
                            <w:rFonts w:ascii="Cambria Math" w:hAnsi="Cambria Math"/>
                            <w:sz w:val="18"/>
                            <w:szCs w:val="18"/>
                          </w:rPr>
                          <m:t>E</m:t>
                        </m:r>
                      </m:e>
                      <m:sub>
                        <m:r>
                          <m:rPr>
                            <m:nor/>
                          </m:rPr>
                          <w:rPr>
                            <w:rFonts w:ascii="Amasis MT Pro" w:hAnsi="Amasis MT Pro"/>
                            <w:sz w:val="18"/>
                            <w:szCs w:val="18"/>
                          </w:rPr>
                          <m:t>usa</m:t>
                        </m:r>
                      </m:sub>
                    </m:sSub>
                  </m:den>
                </m:f>
              </m:oMath>
            </m:oMathPara>
          </w:p>
          <w:p w14:paraId="7A602B02" w14:textId="77777777" w:rsidR="00D051CB" w:rsidRPr="00D051CB" w:rsidRDefault="00D051CB" w:rsidP="00E57460">
            <w:pPr>
              <w:rPr>
                <w:rFonts w:eastAsiaTheme="minorEastAsia"/>
                <w:sz w:val="18"/>
                <w:szCs w:val="18"/>
              </w:rPr>
            </w:pPr>
          </w:p>
          <w:p w14:paraId="7059BF35" w14:textId="1E916B8C" w:rsidR="009A1C96" w:rsidRPr="009A1C96" w:rsidRDefault="00000000" w:rsidP="009A1C96">
            <w:pPr>
              <w:rPr>
                <w:rFonts w:ascii="Amasis MT Pro" w:hAnsi="Amasis MT Pro"/>
                <w:sz w:val="18"/>
                <w:szCs w:val="18"/>
              </w:rPr>
            </w:pPr>
            <m:oMath>
              <m:sSub>
                <m:sSubPr>
                  <m:ctrlPr>
                    <w:rPr>
                      <w:rFonts w:ascii="Cambria Math" w:hAnsi="Cambria Math"/>
                      <w:sz w:val="18"/>
                      <w:szCs w:val="18"/>
                      <w:highlight w:val="yellow"/>
                    </w:rPr>
                  </m:ctrlPr>
                </m:sSubPr>
                <m:e>
                  <m:r>
                    <w:rPr>
                      <w:rFonts w:ascii="Cambria Math" w:hAnsi="Cambria Math"/>
                      <w:sz w:val="18"/>
                      <w:szCs w:val="18"/>
                      <w:highlight w:val="yellow"/>
                    </w:rPr>
                    <m:t>E</m:t>
                  </m:r>
                </m:e>
                <m:sub>
                  <m:r>
                    <w:rPr>
                      <w:rFonts w:ascii="Cambria Math" w:hAnsi="Cambria Math"/>
                      <w:sz w:val="18"/>
                      <w:szCs w:val="18"/>
                      <w:highlight w:val="yellow"/>
                    </w:rPr>
                    <m:t>usa</m:t>
                  </m:r>
                </m:sub>
              </m:sSub>
            </m:oMath>
            <w:r w:rsidR="00D051CB" w:rsidRPr="005E4F5F">
              <w:rPr>
                <w:rFonts w:ascii="Amasis MT Pro" w:hAnsi="Amasis MT Pro"/>
                <w:sz w:val="18"/>
                <w:szCs w:val="18"/>
                <w:highlight w:val="yellow"/>
              </w:rPr>
              <w:t xml:space="preserve"> signifies the usable batter</w:t>
            </w:r>
            <w:r w:rsidR="00D051CB">
              <w:rPr>
                <w:rFonts w:ascii="Amasis MT Pro" w:hAnsi="Amasis MT Pro"/>
                <w:sz w:val="18"/>
                <w:szCs w:val="18"/>
                <w:highlight w:val="yellow"/>
              </w:rPr>
              <w:t xml:space="preserve">y energy capacity </w:t>
            </w:r>
            <w:r w:rsidR="00D051CB" w:rsidRPr="005E4F5F">
              <w:rPr>
                <w:rFonts w:ascii="Amasis MT Pro" w:hAnsi="Amasis MT Pro"/>
                <w:sz w:val="18"/>
                <w:szCs w:val="18"/>
                <w:highlight w:val="yellow"/>
              </w:rPr>
              <w:t>over a whole cycle (kWh),</w:t>
            </w:r>
          </w:p>
        </w:tc>
      </w:tr>
    </w:tbl>
    <w:p w14:paraId="59CB5A37" w14:textId="77777777" w:rsidR="006F7EA2" w:rsidRPr="00E57460" w:rsidRDefault="006F7EA2" w:rsidP="00E57460"/>
    <w:tbl>
      <w:tblPr>
        <w:tblStyle w:val="TableGrid"/>
        <w:tblW w:w="0" w:type="auto"/>
        <w:tblLook w:val="04A0" w:firstRow="1" w:lastRow="0" w:firstColumn="1" w:lastColumn="0" w:noHBand="0" w:noVBand="1"/>
      </w:tblPr>
      <w:tblGrid>
        <w:gridCol w:w="9350"/>
      </w:tblGrid>
      <w:tr w:rsidR="00783539" w14:paraId="600794D4" w14:textId="77777777" w:rsidTr="00E25C21">
        <w:tc>
          <w:tcPr>
            <w:tcW w:w="9350" w:type="dxa"/>
            <w:shd w:val="clear" w:color="auto" w:fill="FFF2CC" w:themeFill="accent4" w:themeFillTint="33"/>
          </w:tcPr>
          <w:p w14:paraId="12E4F006" w14:textId="77777777" w:rsidR="00783539" w:rsidRPr="006F7EA2" w:rsidRDefault="00783539" w:rsidP="00E25C21">
            <w:pPr>
              <w:rPr>
                <w:b/>
                <w:bCs/>
              </w:rPr>
            </w:pPr>
            <w:r w:rsidRPr="006F7EA2">
              <w:rPr>
                <w:b/>
                <w:bCs/>
              </w:rPr>
              <w:t>Comment:</w:t>
            </w:r>
          </w:p>
          <w:p w14:paraId="73D8D245" w14:textId="12411F0E" w:rsidR="00783539" w:rsidRDefault="00783539" w:rsidP="00783539">
            <w:pPr>
              <w:jc w:val="both"/>
            </w:pPr>
            <w:r w:rsidRPr="00E57460">
              <w:t>• Time Step Definition: There is a discrepancy in time indices. Equations (6) and (7) use indices but the study is described as a "24-hour case study" with "hourly demand". If the simulation is hourly, these indices should not exceed 24. Please clarify if the time step is minutes or hours.</w:t>
            </w:r>
          </w:p>
        </w:tc>
      </w:tr>
      <w:tr w:rsidR="00783539" w:rsidRPr="006F7EA2" w14:paraId="1EFAB22E" w14:textId="77777777" w:rsidTr="00E25C21">
        <w:tc>
          <w:tcPr>
            <w:tcW w:w="9350" w:type="dxa"/>
            <w:shd w:val="clear" w:color="auto" w:fill="F9CEFA"/>
          </w:tcPr>
          <w:p w14:paraId="1DE57B49" w14:textId="77777777" w:rsidR="00783539" w:rsidRPr="006F7EA2" w:rsidRDefault="00783539" w:rsidP="00E25C21">
            <w:pPr>
              <w:rPr>
                <w:b/>
                <w:bCs/>
              </w:rPr>
            </w:pPr>
            <w:r w:rsidRPr="006F7EA2">
              <w:rPr>
                <w:b/>
                <w:bCs/>
              </w:rPr>
              <w:t>Response:</w:t>
            </w:r>
          </w:p>
          <w:p w14:paraId="07B75313" w14:textId="29E16F74" w:rsidR="00783539" w:rsidRPr="00F60AE7" w:rsidRDefault="00F60AE7" w:rsidP="00F60AE7">
            <w:pPr>
              <w:spacing w:line="360" w:lineRule="auto"/>
              <w:jc w:val="both"/>
            </w:pPr>
            <w:r w:rsidRPr="00F60AE7">
              <w:lastRenderedPageBreak/>
              <w:t xml:space="preserve">Thank you for your careful observation. We deeply appreciate this comment, as it helped us improve the clarity and reproducibility of the formulation. The </w:t>
            </w:r>
            <w:r w:rsidR="00A96143">
              <w:t>section and  the sentences</w:t>
            </w:r>
            <w:r w:rsidRPr="00F60AE7">
              <w:t xml:space="preserve"> based on this comment has been clarified.</w:t>
            </w:r>
          </w:p>
        </w:tc>
      </w:tr>
      <w:tr w:rsidR="00783539" w:rsidRPr="006F7EA2" w14:paraId="151262C9" w14:textId="77777777" w:rsidTr="009A1C96">
        <w:trPr>
          <w:trHeight w:val="2267"/>
        </w:trPr>
        <w:tc>
          <w:tcPr>
            <w:tcW w:w="9350" w:type="dxa"/>
            <w:shd w:val="clear" w:color="auto" w:fill="E2EFD9" w:themeFill="accent6" w:themeFillTint="33"/>
          </w:tcPr>
          <w:p w14:paraId="6F41A903" w14:textId="77777777" w:rsidR="00783539" w:rsidRDefault="00783539" w:rsidP="00E25C21">
            <w:pPr>
              <w:rPr>
                <w:b/>
                <w:bCs/>
                <w:color w:val="EE0000"/>
              </w:rPr>
            </w:pPr>
            <w:r w:rsidRPr="00783539">
              <w:rPr>
                <w:b/>
                <w:bCs/>
                <w:color w:val="EE0000"/>
              </w:rPr>
              <w:lastRenderedPageBreak/>
              <w:t>Action:</w:t>
            </w:r>
          </w:p>
          <w:p w14:paraId="44FDDBF7" w14:textId="77777777" w:rsidR="00F60AE7" w:rsidRPr="00E04960" w:rsidRDefault="00F60AE7" w:rsidP="00F60AE7">
            <w:pPr>
              <w:pStyle w:val="icsmbodytext"/>
              <w:ind w:firstLine="284"/>
              <w:rPr>
                <w:rFonts w:ascii="Amasis MT Pro" w:hAnsi="Amasis MT Pro"/>
                <w:sz w:val="18"/>
                <w:szCs w:val="18"/>
                <w:lang w:val="en-US"/>
              </w:rPr>
            </w:pPr>
            <w:r w:rsidRPr="00E04960">
              <w:rPr>
                <w:rFonts w:ascii="Amasis MT Pro" w:hAnsi="Amasis MT Pro"/>
                <w:sz w:val="18"/>
                <w:szCs w:val="18"/>
                <w:lang w:val="en-US"/>
              </w:rPr>
              <w:t xml:space="preserve">To ensure that the charging and discharging of the battery only takes place during the time period that has been stated in the proposed model, </w:t>
            </w:r>
            <w:r w:rsidRPr="00C44A3B">
              <w:rPr>
                <w:rFonts w:ascii="Amasis MT Pro" w:hAnsi="Amasis MT Pro"/>
                <w:sz w:val="18"/>
                <w:szCs w:val="18"/>
                <w:highlight w:val="yellow"/>
              </w:rPr>
              <w:t>two binary availability indicators are introduced</w:t>
            </w:r>
            <w:r w:rsidRPr="00C44A3B">
              <w:rPr>
                <w:rFonts w:ascii="Amasis MT Pro" w:hAnsi="Amasis MT Pro"/>
                <w:sz w:val="18"/>
                <w:szCs w:val="18"/>
                <w:highlight w:val="yellow"/>
                <w:lang w:val="en-US"/>
              </w:rPr>
              <w:t>,</w:t>
            </w:r>
            <w:r>
              <w:rPr>
                <w:rFonts w:ascii="Amasis MT Pro" w:hAnsi="Amasis MT Pro"/>
                <w:sz w:val="18"/>
                <w:szCs w:val="18"/>
                <w:lang w:val="en-US"/>
              </w:rPr>
              <w:t xml:space="preserve"> </w:t>
            </w:r>
            <w:r w:rsidRPr="00B85470">
              <w:rPr>
                <w:rFonts w:ascii="Amasis MT Pro" w:hAnsi="Amasis MT Pro"/>
                <w:sz w:val="18"/>
                <w:szCs w:val="18"/>
                <w:highlight w:val="yellow"/>
              </w:rPr>
              <w:t xml:space="preserve">let </w:t>
            </w:r>
            <m:oMath>
              <m:r>
                <w:rPr>
                  <w:rFonts w:ascii="Cambria Math" w:hAnsi="Cambria Math"/>
                  <w:sz w:val="18"/>
                  <w:szCs w:val="18"/>
                  <w:highlight w:val="yellow"/>
                </w:rPr>
                <m:t>t∈{1,…,24}</m:t>
              </m:r>
            </m:oMath>
            <w:r w:rsidRPr="00B85470">
              <w:rPr>
                <w:rFonts w:ascii="Amasis MT Pro" w:hAnsi="Amasis MT Pro"/>
                <w:sz w:val="18"/>
                <w:szCs w:val="18"/>
                <w:highlight w:val="yellow"/>
              </w:rPr>
              <w:t xml:space="preserve"> denote the hourly time slot with </w:t>
            </w:r>
            <m:oMath>
              <m:r>
                <w:rPr>
                  <w:rFonts w:ascii="Cambria Math" w:hAnsi="Cambria Math" w:cs="Cambria"/>
                  <w:sz w:val="18"/>
                  <w:szCs w:val="18"/>
                  <w:highlight w:val="yellow"/>
                </w:rPr>
                <m:t>Δ</m:t>
              </m:r>
              <m:r>
                <w:rPr>
                  <w:rFonts w:ascii="Cambria Math" w:hAnsi="Cambria Math"/>
                  <w:sz w:val="18"/>
                  <w:szCs w:val="18"/>
                  <w:highlight w:val="yellow"/>
                </w:rPr>
                <m:t>t=1</m:t>
              </m:r>
              <m:r>
                <w:rPr>
                  <w:rFonts w:ascii="Cambria Math" w:hAnsi="Cambria Math"/>
                  <w:sz w:val="18"/>
                  <w:szCs w:val="18"/>
                  <w:highlight w:val="yellow"/>
                </w:rPr>
                <m:t>h</m:t>
              </m:r>
            </m:oMath>
            <w:r w:rsidRPr="00B85470">
              <w:rPr>
                <w:rFonts w:ascii="Amasis MT Pro" w:hAnsi="Amasis MT Pro"/>
                <w:sz w:val="18"/>
                <w:szCs w:val="18"/>
                <w:highlight w:val="yellow"/>
              </w:rPr>
              <w:t>. The charging and discharging availability indicators are defined as</w:t>
            </w:r>
            <w:r w:rsidRPr="00B85470">
              <w:rPr>
                <w:rFonts w:ascii="Amasis MT Pro" w:hAnsi="Amasis MT Pro"/>
                <w:sz w:val="18"/>
                <w:szCs w:val="18"/>
                <w:highlight w:val="yellow"/>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703"/>
            </w:tblGrid>
            <w:tr w:rsidR="00F60AE7" w:rsidRPr="00E04960" w14:paraId="6B896700" w14:textId="77777777" w:rsidTr="00F60CE5">
              <w:tc>
                <w:tcPr>
                  <w:tcW w:w="4138" w:type="dxa"/>
                </w:tcPr>
                <w:p w14:paraId="59EC6094" w14:textId="77777777" w:rsidR="00F60AE7" w:rsidRPr="00E04960" w:rsidRDefault="00000000" w:rsidP="00F60AE7">
                  <w:pPr>
                    <w:pStyle w:val="icsmbodytext"/>
                    <w:ind w:firstLine="284"/>
                    <w:rPr>
                      <w:rFonts w:ascii="Amasis MT Pro" w:hAnsi="Amasis MT Pro"/>
                      <w:sz w:val="18"/>
                      <w:szCs w:val="18"/>
                      <w:lang w:val="en-US"/>
                    </w:rPr>
                  </w:pPr>
                  <m:oMathPara>
                    <m:oMathParaPr>
                      <m:jc m:val="left"/>
                    </m:oMathParaPr>
                    <m:oMath>
                      <m:sSub>
                        <m:sSubPr>
                          <m:ctrlPr>
                            <w:rPr>
                              <w:rFonts w:ascii="Cambria Math" w:hAnsi="Cambria Math"/>
                              <w:sz w:val="18"/>
                              <w:szCs w:val="18"/>
                              <w:lang w:val="en-US"/>
                            </w:rPr>
                          </m:ctrlPr>
                        </m:sSubPr>
                        <m:e>
                          <m:r>
                            <w:rPr>
                              <w:rFonts w:ascii="Cambria Math" w:hAnsi="Cambria Math"/>
                              <w:sz w:val="18"/>
                              <w:szCs w:val="18"/>
                              <w:lang w:val="en-US"/>
                            </w:rPr>
                            <m:t>t</m:t>
                          </m:r>
                        </m:e>
                        <m:sub>
                          <m:r>
                            <m:rPr>
                              <m:sty m:val="p"/>
                            </m:rPr>
                            <w:rPr>
                              <w:rFonts w:ascii="Cambria Math" w:hAnsi="Cambria Math"/>
                              <w:sz w:val="18"/>
                              <w:szCs w:val="18"/>
                              <w:lang w:val="en-US"/>
                            </w:rPr>
                            <m:t>ch</m:t>
                          </m:r>
                        </m:sub>
                      </m:sSub>
                      <m:r>
                        <m:rPr>
                          <m:sty m:val="p"/>
                        </m:rPr>
                        <w:rPr>
                          <w:rFonts w:ascii="Cambria Math" w:hAnsi="Cambria Math"/>
                          <w:sz w:val="18"/>
                          <w:szCs w:val="18"/>
                          <w:lang w:val="en-US"/>
                        </w:rPr>
                        <m:t>(</m:t>
                      </m:r>
                      <m:r>
                        <w:rPr>
                          <w:rFonts w:ascii="Cambria Math" w:hAnsi="Cambria Math"/>
                          <w:sz w:val="18"/>
                          <w:szCs w:val="18"/>
                          <w:lang w:val="en-US"/>
                        </w:rPr>
                        <m:t>i</m:t>
                      </m:r>
                      <m:r>
                        <m:rPr>
                          <m:sty m:val="p"/>
                        </m:rPr>
                        <w:rPr>
                          <w:rFonts w:ascii="Cambria Math" w:hAnsi="Cambria Math"/>
                          <w:sz w:val="18"/>
                          <w:szCs w:val="18"/>
                          <w:lang w:val="en-US"/>
                        </w:rPr>
                        <m:t>)=</m:t>
                      </m:r>
                      <m:d>
                        <m:dPr>
                          <m:begChr m:val="{"/>
                          <m:endChr m:val=""/>
                          <m:ctrlPr>
                            <w:rPr>
                              <w:rFonts w:ascii="Cambria Math" w:hAnsi="Cambria Math"/>
                              <w:sz w:val="18"/>
                              <w:szCs w:val="18"/>
                              <w:lang w:val="en-US"/>
                            </w:rPr>
                          </m:ctrlPr>
                        </m:dPr>
                        <m:e>
                          <m:m>
                            <m:mPr>
                              <m:plcHide m:val="1"/>
                              <m:mcs>
                                <m:mc>
                                  <m:mcPr>
                                    <m:count m:val="2"/>
                                    <m:mcJc m:val="left"/>
                                  </m:mcPr>
                                </m:mc>
                              </m:mcs>
                              <m:ctrlPr>
                                <w:rPr>
                                  <w:rFonts w:ascii="Cambria Math" w:hAnsi="Cambria Math"/>
                                  <w:i/>
                                  <w:sz w:val="18"/>
                                  <w:szCs w:val="18"/>
                                  <w:lang w:val="en-US"/>
                                </w:rPr>
                              </m:ctrlPr>
                            </m:mPr>
                            <m:mr>
                              <m:e>
                                <m:r>
                                  <m:rPr>
                                    <m:sty m:val="p"/>
                                  </m:rPr>
                                  <w:rPr>
                                    <w:rFonts w:ascii="Cambria Math" w:hAnsi="Cambria Math"/>
                                    <w:sz w:val="18"/>
                                    <w:szCs w:val="18"/>
                                    <w:lang w:val="en-US"/>
                                  </w:rPr>
                                  <m:t>1,</m:t>
                                </m:r>
                              </m:e>
                              <m:e>
                                <m:r>
                                  <m:rPr>
                                    <m:nor/>
                                  </m:rPr>
                                  <w:rPr>
                                    <w:rFonts w:ascii="Amasis MT Pro" w:hAnsi="Amasis MT Pro"/>
                                    <w:sz w:val="18"/>
                                    <w:szCs w:val="18"/>
                                    <w:lang w:val="en-US"/>
                                  </w:rPr>
                                  <m:t xml:space="preserve">if </m:t>
                                </m:r>
                                <m:r>
                                  <m:rPr>
                                    <m:sty m:val="p"/>
                                  </m:rPr>
                                  <w:rPr>
                                    <w:rFonts w:ascii="Cambria Math" w:hAnsi="Cambria Math"/>
                                    <w:sz w:val="18"/>
                                    <w:szCs w:val="18"/>
                                    <w:lang w:val="en-US"/>
                                  </w:rPr>
                                  <m:t>9≤</m:t>
                                </m:r>
                                <m:r>
                                  <w:rPr>
                                    <w:rFonts w:ascii="Cambria Math" w:hAnsi="Cambria Math"/>
                                    <w:sz w:val="18"/>
                                    <w:szCs w:val="18"/>
                                    <w:lang w:val="en-US"/>
                                  </w:rPr>
                                  <m:t>i</m:t>
                                </m:r>
                                <m:r>
                                  <m:rPr>
                                    <m:sty m:val="p"/>
                                  </m:rPr>
                                  <w:rPr>
                                    <w:rFonts w:ascii="Cambria Math" w:hAnsi="Cambria Math"/>
                                    <w:sz w:val="18"/>
                                    <w:szCs w:val="18"/>
                                    <w:lang w:val="en-US"/>
                                  </w:rPr>
                                  <m:t>≤16</m:t>
                                </m:r>
                              </m:e>
                            </m:mr>
                            <m:mr>
                              <m:e>
                                <m:r>
                                  <m:rPr>
                                    <m:sty m:val="p"/>
                                  </m:rPr>
                                  <w:rPr>
                                    <w:rFonts w:ascii="Cambria Math" w:hAnsi="Cambria Math"/>
                                    <w:sz w:val="18"/>
                                    <w:szCs w:val="18"/>
                                    <w:lang w:val="en-US"/>
                                  </w:rPr>
                                  <m:t>0,</m:t>
                                </m:r>
                              </m:e>
                              <m:e>
                                <m:r>
                                  <m:rPr>
                                    <m:nor/>
                                  </m:rPr>
                                  <w:rPr>
                                    <w:rFonts w:ascii="Amasis MT Pro" w:hAnsi="Amasis MT Pro"/>
                                    <w:sz w:val="18"/>
                                    <w:szCs w:val="18"/>
                                    <w:lang w:val="en-US"/>
                                  </w:rPr>
                                  <m:t>otherwise</m:t>
                                </m:r>
                              </m:e>
                            </m:mr>
                          </m:m>
                        </m:e>
                      </m:d>
                    </m:oMath>
                  </m:oMathPara>
                </w:p>
              </w:tc>
              <w:tc>
                <w:tcPr>
                  <w:tcW w:w="703" w:type="dxa"/>
                  <w:vAlign w:val="center"/>
                </w:tcPr>
                <w:p w14:paraId="5C420367" w14:textId="77777777" w:rsidR="00F60AE7" w:rsidRPr="00E04960" w:rsidRDefault="00F60AE7" w:rsidP="00F60AE7">
                  <w:pPr>
                    <w:pStyle w:val="icsmbodytext"/>
                    <w:ind w:firstLine="284"/>
                    <w:rPr>
                      <w:rFonts w:ascii="Amasis MT Pro" w:hAnsi="Amasis MT Pro"/>
                      <w:sz w:val="18"/>
                      <w:szCs w:val="18"/>
                      <w:lang w:val="en-US"/>
                    </w:rPr>
                  </w:pPr>
                  <w:r w:rsidRPr="00E04960">
                    <w:rPr>
                      <w:rFonts w:ascii="Amasis MT Pro" w:hAnsi="Amasis MT Pro"/>
                      <w:sz w:val="18"/>
                      <w:szCs w:val="18"/>
                      <w:lang w:val="en-US"/>
                    </w:rPr>
                    <w:t>(6)</w:t>
                  </w:r>
                </w:p>
              </w:tc>
            </w:tr>
            <w:tr w:rsidR="00F60AE7" w:rsidRPr="00E04960" w14:paraId="5A49DF23" w14:textId="77777777" w:rsidTr="00F60CE5">
              <w:tc>
                <w:tcPr>
                  <w:tcW w:w="4138" w:type="dxa"/>
                </w:tcPr>
                <w:p w14:paraId="11414A03" w14:textId="77777777" w:rsidR="00F60AE7" w:rsidRPr="00E04960" w:rsidRDefault="00000000" w:rsidP="00F60AE7">
                  <w:pPr>
                    <w:pStyle w:val="icsmbodytext"/>
                    <w:ind w:firstLine="284"/>
                    <w:rPr>
                      <w:rFonts w:ascii="Amasis MT Pro" w:hAnsi="Amasis MT Pro"/>
                      <w:sz w:val="18"/>
                      <w:szCs w:val="18"/>
                      <w:lang w:val="en-US"/>
                    </w:rPr>
                  </w:pPr>
                  <m:oMathPara>
                    <m:oMathParaPr>
                      <m:jc m:val="left"/>
                    </m:oMathParaPr>
                    <m:oMath>
                      <m:sSub>
                        <m:sSubPr>
                          <m:ctrlPr>
                            <w:rPr>
                              <w:rFonts w:ascii="Cambria Math" w:hAnsi="Cambria Math"/>
                              <w:sz w:val="18"/>
                              <w:szCs w:val="18"/>
                              <w:lang w:val="en-US"/>
                            </w:rPr>
                          </m:ctrlPr>
                        </m:sSubPr>
                        <m:e>
                          <m:r>
                            <w:rPr>
                              <w:rFonts w:ascii="Cambria Math" w:hAnsi="Cambria Math"/>
                              <w:sz w:val="18"/>
                              <w:szCs w:val="18"/>
                              <w:lang w:val="en-US"/>
                            </w:rPr>
                            <m:t>t</m:t>
                          </m:r>
                        </m:e>
                        <m:sub>
                          <m:r>
                            <m:rPr>
                              <m:sty m:val="p"/>
                            </m:rPr>
                            <w:rPr>
                              <w:rFonts w:ascii="Cambria Math" w:hAnsi="Cambria Math"/>
                              <w:sz w:val="18"/>
                              <w:szCs w:val="18"/>
                              <w:lang w:val="en-US"/>
                            </w:rPr>
                            <m:t>dis</m:t>
                          </m:r>
                        </m:sub>
                      </m:sSub>
                      <m:r>
                        <m:rPr>
                          <m:sty m:val="p"/>
                        </m:rPr>
                        <w:rPr>
                          <w:rFonts w:ascii="Cambria Math" w:hAnsi="Cambria Math"/>
                          <w:sz w:val="18"/>
                          <w:szCs w:val="18"/>
                          <w:lang w:val="en-US"/>
                        </w:rPr>
                        <m:t>(</m:t>
                      </m:r>
                      <m:r>
                        <w:rPr>
                          <w:rFonts w:ascii="Cambria Math" w:hAnsi="Cambria Math"/>
                          <w:sz w:val="18"/>
                          <w:szCs w:val="18"/>
                          <w:lang w:val="en-US"/>
                        </w:rPr>
                        <m:t>i</m:t>
                      </m:r>
                      <m:r>
                        <m:rPr>
                          <m:sty m:val="p"/>
                        </m:rPr>
                        <w:rPr>
                          <w:rFonts w:ascii="Cambria Math" w:hAnsi="Cambria Math"/>
                          <w:sz w:val="18"/>
                          <w:szCs w:val="18"/>
                          <w:lang w:val="en-US"/>
                        </w:rPr>
                        <m:t>)=</m:t>
                      </m:r>
                      <m:d>
                        <m:dPr>
                          <m:begChr m:val="{"/>
                          <m:endChr m:val=""/>
                          <m:ctrlPr>
                            <w:rPr>
                              <w:rFonts w:ascii="Cambria Math" w:hAnsi="Cambria Math"/>
                              <w:sz w:val="18"/>
                              <w:szCs w:val="18"/>
                              <w:lang w:val="en-US"/>
                            </w:rPr>
                          </m:ctrlPr>
                        </m:dPr>
                        <m:e>
                          <m:m>
                            <m:mPr>
                              <m:plcHide m:val="1"/>
                              <m:mcs>
                                <m:mc>
                                  <m:mcPr>
                                    <m:count m:val="2"/>
                                    <m:mcJc m:val="left"/>
                                  </m:mcPr>
                                </m:mc>
                              </m:mcs>
                              <m:ctrlPr>
                                <w:rPr>
                                  <w:rFonts w:ascii="Cambria Math" w:hAnsi="Cambria Math"/>
                                  <w:i/>
                                  <w:sz w:val="18"/>
                                  <w:szCs w:val="18"/>
                                  <w:lang w:val="en-US"/>
                                </w:rPr>
                              </m:ctrlPr>
                            </m:mPr>
                            <m:mr>
                              <m:e>
                                <m:r>
                                  <m:rPr>
                                    <m:sty m:val="p"/>
                                  </m:rPr>
                                  <w:rPr>
                                    <w:rFonts w:ascii="Cambria Math" w:hAnsi="Cambria Math"/>
                                    <w:sz w:val="18"/>
                                    <w:szCs w:val="18"/>
                                    <w:lang w:val="en-US"/>
                                  </w:rPr>
                                  <m:t>1,</m:t>
                                </m:r>
                              </m:e>
                              <m:e>
                                <m:r>
                                  <m:rPr>
                                    <m:nor/>
                                  </m:rPr>
                                  <w:rPr>
                                    <w:rFonts w:ascii="Amasis MT Pro" w:hAnsi="Amasis MT Pro"/>
                                    <w:sz w:val="18"/>
                                    <w:szCs w:val="18"/>
                                    <w:lang w:val="en-US"/>
                                  </w:rPr>
                                  <m:t xml:space="preserve">if </m:t>
                                </m:r>
                                <m:r>
                                  <m:rPr>
                                    <m:sty m:val="p"/>
                                  </m:rPr>
                                  <w:rPr>
                                    <w:rFonts w:ascii="Cambria Math" w:hAnsi="Cambria Math"/>
                                    <w:sz w:val="18"/>
                                    <w:szCs w:val="18"/>
                                    <w:lang w:val="en-US"/>
                                  </w:rPr>
                                  <m:t>17≤</m:t>
                                </m:r>
                                <m:r>
                                  <w:rPr>
                                    <w:rFonts w:ascii="Cambria Math" w:hAnsi="Cambria Math"/>
                                    <w:sz w:val="18"/>
                                    <w:szCs w:val="18"/>
                                    <w:lang w:val="en-US"/>
                                  </w:rPr>
                                  <m:t>i</m:t>
                                </m:r>
                                <m:r>
                                  <m:rPr>
                                    <m:sty m:val="p"/>
                                  </m:rPr>
                                  <w:rPr>
                                    <w:rFonts w:ascii="Cambria Math" w:hAnsi="Cambria Math"/>
                                    <w:sz w:val="18"/>
                                    <w:szCs w:val="18"/>
                                    <w:lang w:val="en-US"/>
                                  </w:rPr>
                                  <m:t>≤22</m:t>
                                </m:r>
                              </m:e>
                            </m:mr>
                            <m:mr>
                              <m:e>
                                <m:r>
                                  <m:rPr>
                                    <m:sty m:val="p"/>
                                  </m:rPr>
                                  <w:rPr>
                                    <w:rFonts w:ascii="Cambria Math" w:hAnsi="Cambria Math"/>
                                    <w:sz w:val="18"/>
                                    <w:szCs w:val="18"/>
                                    <w:lang w:val="en-US"/>
                                  </w:rPr>
                                  <m:t>0,</m:t>
                                </m:r>
                              </m:e>
                              <m:e>
                                <m:r>
                                  <m:rPr>
                                    <m:nor/>
                                  </m:rPr>
                                  <w:rPr>
                                    <w:rFonts w:ascii="Amasis MT Pro" w:hAnsi="Amasis MT Pro"/>
                                    <w:sz w:val="18"/>
                                    <w:szCs w:val="18"/>
                                    <w:lang w:val="en-US"/>
                                  </w:rPr>
                                  <m:t>otherwise</m:t>
                                </m:r>
                              </m:e>
                            </m:mr>
                          </m:m>
                        </m:e>
                      </m:d>
                    </m:oMath>
                  </m:oMathPara>
                </w:p>
              </w:tc>
              <w:tc>
                <w:tcPr>
                  <w:tcW w:w="703" w:type="dxa"/>
                  <w:vAlign w:val="center"/>
                </w:tcPr>
                <w:p w14:paraId="10C114DB" w14:textId="77777777" w:rsidR="00F60AE7" w:rsidRPr="00E04960" w:rsidRDefault="00F60AE7" w:rsidP="00F60AE7">
                  <w:pPr>
                    <w:pStyle w:val="icsmbodytext"/>
                    <w:ind w:firstLine="284"/>
                    <w:rPr>
                      <w:rFonts w:ascii="Amasis MT Pro" w:hAnsi="Amasis MT Pro"/>
                      <w:sz w:val="18"/>
                      <w:szCs w:val="18"/>
                      <w:lang w:val="en-US"/>
                    </w:rPr>
                  </w:pPr>
                  <w:r w:rsidRPr="00E04960">
                    <w:rPr>
                      <w:rFonts w:ascii="Amasis MT Pro" w:hAnsi="Amasis MT Pro"/>
                      <w:sz w:val="18"/>
                      <w:szCs w:val="18"/>
                      <w:lang w:val="en-US"/>
                    </w:rPr>
                    <w:t>(7)</w:t>
                  </w:r>
                </w:p>
              </w:tc>
            </w:tr>
          </w:tbl>
          <w:p w14:paraId="129263FC" w14:textId="3B7A7C75" w:rsidR="00F60AE7" w:rsidRPr="009A1C96" w:rsidRDefault="00F60AE7" w:rsidP="009A1C96">
            <w:pPr>
              <w:pStyle w:val="icsmbodytext"/>
              <w:ind w:firstLine="284"/>
              <w:rPr>
                <w:rFonts w:ascii="Amasis MT Pro" w:hAnsi="Amasis MT Pro"/>
                <w:iCs/>
                <w:sz w:val="18"/>
                <w:szCs w:val="18"/>
                <w:lang w:val="en-US"/>
              </w:rPr>
            </w:pPr>
            <w:r w:rsidRPr="00B85470">
              <w:rPr>
                <w:rFonts w:ascii="Amasis MT Pro" w:hAnsi="Amasis MT Pro"/>
                <w:iCs/>
                <w:sz w:val="18"/>
                <w:szCs w:val="18"/>
                <w:highlight w:val="yellow"/>
              </w:rPr>
              <w:t xml:space="preserve">where </w:t>
            </w:r>
            <m:oMath>
              <m:sSub>
                <m:sSubPr>
                  <m:ctrlPr>
                    <w:rPr>
                      <w:rFonts w:ascii="Cambria Math" w:hAnsi="Cambria Math"/>
                      <w:iCs/>
                      <w:sz w:val="18"/>
                      <w:szCs w:val="18"/>
                      <w:highlight w:val="yellow"/>
                    </w:rPr>
                  </m:ctrlPr>
                </m:sSubPr>
                <m:e>
                  <m:r>
                    <m:rPr>
                      <m:sty m:val="p"/>
                    </m:rPr>
                    <w:rPr>
                      <w:rFonts w:ascii="Cambria Math" w:hAnsi="Cambria Math"/>
                      <w:sz w:val="18"/>
                      <w:szCs w:val="18"/>
                      <w:highlight w:val="yellow"/>
                    </w:rPr>
                    <m:t>t</m:t>
                  </m:r>
                </m:e>
                <m:sub>
                  <m:r>
                    <m:rPr>
                      <m:sty m:val="p"/>
                    </m:rPr>
                    <w:rPr>
                      <w:rFonts w:ascii="Cambria Math" w:hAnsi="Cambria Math"/>
                      <w:sz w:val="18"/>
                      <w:szCs w:val="18"/>
                      <w:highlight w:val="yellow"/>
                    </w:rPr>
                    <m:t>ch</m:t>
                  </m:r>
                </m:sub>
              </m:sSub>
              <m:r>
                <m:rPr>
                  <m:sty m:val="p"/>
                </m:rPr>
                <w:rPr>
                  <w:rFonts w:ascii="Cambria Math" w:hAnsi="Cambria Math"/>
                  <w:sz w:val="18"/>
                  <w:szCs w:val="18"/>
                  <w:highlight w:val="yellow"/>
                </w:rPr>
                <m:t>(t)∈{0,1}</m:t>
              </m:r>
            </m:oMath>
            <w:r w:rsidRPr="00B85470">
              <w:rPr>
                <w:rFonts w:ascii="Amasis MT Pro" w:hAnsi="Amasis MT Pro"/>
                <w:iCs/>
                <w:sz w:val="18"/>
                <w:szCs w:val="18"/>
                <w:highlight w:val="yellow"/>
              </w:rPr>
              <w:t xml:space="preserve"> and </w:t>
            </w:r>
            <m:oMath>
              <m:sSub>
                <m:sSubPr>
                  <m:ctrlPr>
                    <w:rPr>
                      <w:rFonts w:ascii="Cambria Math" w:hAnsi="Cambria Math"/>
                      <w:iCs/>
                      <w:sz w:val="18"/>
                      <w:szCs w:val="18"/>
                      <w:highlight w:val="yellow"/>
                    </w:rPr>
                  </m:ctrlPr>
                </m:sSubPr>
                <m:e>
                  <m:r>
                    <m:rPr>
                      <m:sty m:val="p"/>
                    </m:rPr>
                    <w:rPr>
                      <w:rFonts w:ascii="Cambria Math" w:hAnsi="Cambria Math"/>
                      <w:sz w:val="18"/>
                      <w:szCs w:val="18"/>
                      <w:highlight w:val="yellow"/>
                    </w:rPr>
                    <m:t>t</m:t>
                  </m:r>
                </m:e>
                <m:sub>
                  <m:r>
                    <m:rPr>
                      <m:sty m:val="p"/>
                    </m:rPr>
                    <w:rPr>
                      <w:rFonts w:ascii="Cambria Math" w:hAnsi="Cambria Math"/>
                      <w:sz w:val="18"/>
                      <w:szCs w:val="18"/>
                      <w:highlight w:val="yellow"/>
                    </w:rPr>
                    <m:t>dis</m:t>
                  </m:r>
                </m:sub>
              </m:sSub>
              <m:r>
                <m:rPr>
                  <m:sty m:val="p"/>
                </m:rPr>
                <w:rPr>
                  <w:rFonts w:ascii="Cambria Math" w:hAnsi="Cambria Math"/>
                  <w:sz w:val="18"/>
                  <w:szCs w:val="18"/>
                  <w:highlight w:val="yellow"/>
                </w:rPr>
                <m:t>(t)∈{0,1}</m:t>
              </m:r>
            </m:oMath>
            <w:r w:rsidRPr="00B85470">
              <w:rPr>
                <w:rFonts w:ascii="Amasis MT Pro" w:hAnsi="Amasis MT Pro"/>
                <w:iCs/>
                <w:sz w:val="18"/>
                <w:szCs w:val="18"/>
                <w:highlight w:val="yellow"/>
              </w:rPr>
              <w:t xml:space="preserve"> signifies whether charging and discharging is permitted at hour </w:t>
            </w:r>
            <m:oMath>
              <m:r>
                <m:rPr>
                  <m:sty m:val="p"/>
                </m:rPr>
                <w:rPr>
                  <w:rFonts w:ascii="Cambria Math" w:hAnsi="Cambria Math"/>
                  <w:sz w:val="18"/>
                  <w:szCs w:val="18"/>
                  <w:highlight w:val="yellow"/>
                </w:rPr>
                <m:t>t</m:t>
              </m:r>
            </m:oMath>
            <w:r w:rsidRPr="00B85470">
              <w:rPr>
                <w:rFonts w:ascii="Amasis MT Pro" w:hAnsi="Amasis MT Pro"/>
                <w:iCs/>
                <w:sz w:val="18"/>
                <w:szCs w:val="18"/>
                <w:highlight w:val="yellow"/>
              </w:rPr>
              <w:t xml:space="preserve"> respectively. So, charging is allowed during hours 9</w:t>
            </w:r>
            <w:r w:rsidRPr="00C44A3B">
              <w:rPr>
                <w:rFonts w:ascii="Amasis MT Pro" w:hAnsi="Amasis MT Pro"/>
                <w:iCs/>
                <w:sz w:val="18"/>
                <w:szCs w:val="18"/>
                <w:highlight w:val="yellow"/>
              </w:rPr>
              <w:t>–</w:t>
            </w:r>
            <w:r w:rsidRPr="00B85470">
              <w:rPr>
                <w:rFonts w:ascii="Amasis MT Pro" w:hAnsi="Amasis MT Pro"/>
                <w:iCs/>
                <w:sz w:val="18"/>
                <w:szCs w:val="18"/>
                <w:highlight w:val="yellow"/>
              </w:rPr>
              <w:t>6 and discharging during hours 17</w:t>
            </w:r>
            <w:r w:rsidRPr="00C44A3B">
              <w:rPr>
                <w:rFonts w:ascii="Amasis MT Pro" w:hAnsi="Amasis MT Pro"/>
                <w:iCs/>
                <w:sz w:val="18"/>
                <w:szCs w:val="18"/>
                <w:highlight w:val="yellow"/>
              </w:rPr>
              <w:t>–</w:t>
            </w:r>
            <w:r w:rsidRPr="00B85470">
              <w:rPr>
                <w:rFonts w:ascii="Amasis MT Pro" w:hAnsi="Amasis MT Pro"/>
                <w:iCs/>
                <w:sz w:val="18"/>
                <w:szCs w:val="18"/>
                <w:highlight w:val="yellow"/>
              </w:rPr>
              <w:t>22 of the 24-hour scheduling horizon</w:t>
            </w:r>
            <w:r w:rsidRPr="00B85470">
              <w:rPr>
                <w:rFonts w:ascii="Amasis MT Pro" w:hAnsi="Amasis MT Pro"/>
                <w:iCs/>
                <w:sz w:val="18"/>
                <w:szCs w:val="18"/>
                <w:highlight w:val="yellow"/>
                <w:lang w:val="en-US"/>
              </w:rPr>
              <w:t>.</w:t>
            </w:r>
          </w:p>
        </w:tc>
      </w:tr>
    </w:tbl>
    <w:p w14:paraId="702BA34C" w14:textId="77777777" w:rsidR="00783539" w:rsidRDefault="00783539" w:rsidP="00E57460"/>
    <w:tbl>
      <w:tblPr>
        <w:tblStyle w:val="TableGrid"/>
        <w:tblW w:w="0" w:type="auto"/>
        <w:tblLook w:val="04A0" w:firstRow="1" w:lastRow="0" w:firstColumn="1" w:lastColumn="0" w:noHBand="0" w:noVBand="1"/>
      </w:tblPr>
      <w:tblGrid>
        <w:gridCol w:w="9350"/>
      </w:tblGrid>
      <w:tr w:rsidR="00783539" w14:paraId="7B917F86" w14:textId="77777777" w:rsidTr="00E25C21">
        <w:tc>
          <w:tcPr>
            <w:tcW w:w="9350" w:type="dxa"/>
            <w:shd w:val="clear" w:color="auto" w:fill="FFF2CC" w:themeFill="accent4" w:themeFillTint="33"/>
          </w:tcPr>
          <w:p w14:paraId="52929C4B" w14:textId="77777777" w:rsidR="00783539" w:rsidRPr="006F7EA2" w:rsidRDefault="00783539" w:rsidP="00E25C21">
            <w:pPr>
              <w:rPr>
                <w:b/>
                <w:bCs/>
              </w:rPr>
            </w:pPr>
            <w:r w:rsidRPr="006F7EA2">
              <w:rPr>
                <w:b/>
                <w:bCs/>
              </w:rPr>
              <w:t>Comment:</w:t>
            </w:r>
          </w:p>
          <w:p w14:paraId="5D82BCCA" w14:textId="53B9A944" w:rsidR="00783539" w:rsidRDefault="00783539" w:rsidP="00783539">
            <w:pPr>
              <w:jc w:val="both"/>
            </w:pPr>
            <w:r w:rsidRPr="00E57460">
              <w:t xml:space="preserve">• Hydrogen Turbine Model: The model for the HT (Eq. 18) depends on the hydrogen consumption rate m{H2,t}. The paper needs to explicitly describe the source of this hydrogen (e.g., an </w:t>
            </w:r>
            <w:proofErr w:type="spellStart"/>
            <w:r w:rsidRPr="00E57460">
              <w:t>electrolyzer</w:t>
            </w:r>
            <w:proofErr w:type="spellEnd"/>
            <w:r w:rsidRPr="00E57460">
              <w:t xml:space="preserve"> model) to justify the assumption of "abundant renewable energy" availability for hydrogen production.</w:t>
            </w:r>
          </w:p>
        </w:tc>
      </w:tr>
      <w:tr w:rsidR="00783539" w:rsidRPr="006F7EA2" w14:paraId="658FA288" w14:textId="77777777" w:rsidTr="00E25C21">
        <w:tc>
          <w:tcPr>
            <w:tcW w:w="9350" w:type="dxa"/>
            <w:shd w:val="clear" w:color="auto" w:fill="F9CEFA"/>
          </w:tcPr>
          <w:p w14:paraId="17D63856" w14:textId="77777777" w:rsidR="00783539" w:rsidRPr="006F7EA2" w:rsidRDefault="00783539" w:rsidP="00E25C21">
            <w:pPr>
              <w:rPr>
                <w:b/>
                <w:bCs/>
              </w:rPr>
            </w:pPr>
            <w:r w:rsidRPr="006F7EA2">
              <w:rPr>
                <w:b/>
                <w:bCs/>
              </w:rPr>
              <w:t>Response:</w:t>
            </w:r>
          </w:p>
          <w:p w14:paraId="103BEA13" w14:textId="0FB40254" w:rsidR="00783539" w:rsidRPr="009A1C96" w:rsidRDefault="00F90256" w:rsidP="000C1273">
            <w:pPr>
              <w:spacing w:line="360" w:lineRule="auto"/>
              <w:jc w:val="both"/>
            </w:pPr>
            <w:r w:rsidRPr="00F90256">
              <w:t xml:space="preserve">We sincerely appreciate the reviewer’s careful observation. In the original draft, the HT subsection was mistakenly described using a hydrogen-fueled turbine formulation (i.e., hydrogen consumption rate </w:t>
            </w:r>
            <m:oMath>
              <m:sSub>
                <m:sSubPr>
                  <m:ctrlPr>
                    <w:rPr>
                      <w:rFonts w:ascii="Cambria Math" w:hAnsi="Cambria Math"/>
                    </w:rPr>
                  </m:ctrlPr>
                </m:sSubPr>
                <m:e>
                  <m:r>
                    <w:rPr>
                      <w:rFonts w:ascii="Cambria Math" w:hAnsi="Cambria Math"/>
                    </w:rPr>
                    <m:t>m</m:t>
                  </m:r>
                </m:e>
                <m:sub>
                  <m:r>
                    <w:rPr>
                      <w:rFonts w:ascii="Cambria Math" w:hAnsi="Cambria Math"/>
                    </w:rPr>
                    <m:t>H2,t</m:t>
                  </m:r>
                </m:sub>
              </m:sSub>
            </m:oMath>
            <w:r w:rsidRPr="00F90256">
              <w:t xml:space="preserve">and hydrogen availability), which would indeed require an explicit hydrogen production/supply model (e.g., electrolyzer and storage scheduling) to be fully reproducible. To eliminate this inconsistency and avoid relying on an unmodeled “abundant renewable energy” assumption, the manuscript has been </w:t>
            </w:r>
            <w:r w:rsidRPr="00F90256">
              <w:rPr>
                <w:b/>
                <w:bCs/>
              </w:rPr>
              <w:t>revised to correctly model HT as a hydro turbine (hydropower) unit</w:t>
            </w:r>
            <w:r w:rsidRPr="00F90256">
              <w:t xml:space="preserve">. Accordingly, Eq. (18) and the related constraints </w:t>
            </w:r>
            <w:r w:rsidR="000C1273">
              <w:t>have been</w:t>
            </w:r>
            <w:r w:rsidRPr="00F90256">
              <w:t xml:space="preserve"> rewritten by remov</w:t>
            </w:r>
            <w:r w:rsidR="000C1273">
              <w:t>e the</w:t>
            </w:r>
            <w:r w:rsidRPr="00F90256">
              <w:t xml:space="preserve"> all hydrogen-dependent variables and </w:t>
            </w:r>
            <w:r w:rsidR="000C1273">
              <w:t>we have</w:t>
            </w:r>
            <w:r w:rsidRPr="00F90256">
              <w:t xml:space="preserve"> them with a hydro turbine representation based on rated power limits and an available hydro-resource (energy/water-budget) constraint over the scheduling horizon. In addition, all associated descriptions in the Abstract, Innovation, and Methodology were updated consistently from “hydrogen turbine” to “hydro turbine,” and the emissions objective was revised so that operational emissions are only attributed to grid imports (hydro operational emissions are treated as negligible, consistent with other renewable resources). These corrections ensure internal consistency, model clarity, and reproducibility without introducing an </w:t>
            </w:r>
            <w:proofErr w:type="spellStart"/>
            <w:r w:rsidRPr="00F90256">
              <w:t>electrolyzer</w:t>
            </w:r>
            <w:proofErr w:type="spellEnd"/>
            <w:r w:rsidRPr="00F90256">
              <w:t xml:space="preserve"> sub-model that is outside the scope of the day-ahead EMS problem considered </w:t>
            </w:r>
            <w:r w:rsidRPr="00F90256">
              <w:lastRenderedPageBreak/>
              <w:t>in this study.</w:t>
            </w:r>
            <w:r>
              <w:t xml:space="preserve"> </w:t>
            </w:r>
            <w:r w:rsidR="000C1273">
              <w:t>Special thanks again for</w:t>
            </w:r>
            <w:r w:rsidR="000C1273" w:rsidRPr="000C1273">
              <w:t xml:space="preserve"> this highly constructive comment, which reflects the reviewer’s deep expertise in hydrogen-integrated energy system modeling and highlights an important reproducibility requirement</w:t>
            </w:r>
            <w:r w:rsidR="000C1273">
              <w:t>.</w:t>
            </w:r>
          </w:p>
        </w:tc>
      </w:tr>
      <w:tr w:rsidR="00783539" w:rsidRPr="006F7EA2" w14:paraId="0F0538A0" w14:textId="77777777" w:rsidTr="000C1273">
        <w:trPr>
          <w:trHeight w:val="3698"/>
        </w:trPr>
        <w:tc>
          <w:tcPr>
            <w:tcW w:w="9350" w:type="dxa"/>
            <w:shd w:val="clear" w:color="auto" w:fill="E2EFD9" w:themeFill="accent6" w:themeFillTint="33"/>
          </w:tcPr>
          <w:p w14:paraId="7578DBEC" w14:textId="77777777" w:rsidR="00783539" w:rsidRDefault="00783539" w:rsidP="00E25C21">
            <w:pPr>
              <w:rPr>
                <w:b/>
                <w:bCs/>
                <w:color w:val="EE0000"/>
              </w:rPr>
            </w:pPr>
            <w:r w:rsidRPr="00783539">
              <w:rPr>
                <w:b/>
                <w:bCs/>
                <w:color w:val="EE0000"/>
              </w:rPr>
              <w:lastRenderedPageBreak/>
              <w:t>Action:</w:t>
            </w:r>
          </w:p>
          <w:p w14:paraId="3461D1F1" w14:textId="77777777" w:rsidR="000C1273" w:rsidRPr="00DC0A22" w:rsidRDefault="000C1273" w:rsidP="000C1273">
            <w:pPr>
              <w:pStyle w:val="icsmbodytext"/>
              <w:ind w:firstLine="284"/>
              <w:rPr>
                <w:rFonts w:ascii="Amasis MT Pro" w:hAnsi="Amasis MT Pro"/>
                <w:sz w:val="18"/>
                <w:szCs w:val="18"/>
                <w:highlight w:val="yellow"/>
                <w:lang w:val="en-US"/>
              </w:rPr>
            </w:pPr>
            <w:r w:rsidRPr="00DC0A22">
              <w:rPr>
                <w:rFonts w:ascii="Amasis MT Pro" w:hAnsi="Amasis MT Pro"/>
                <w:sz w:val="18"/>
                <w:szCs w:val="18"/>
                <w:highlight w:val="yellow"/>
                <w:lang w:val="en-US"/>
              </w:rPr>
              <w:t xml:space="preserve">The HT is modeled as a controllable hydropower unit that provides scheduled generation within technical </w:t>
            </w:r>
            <w:r w:rsidRPr="00DC0A22">
              <w:rPr>
                <w:rFonts w:ascii="Amasis MT Pro" w:hAnsi="Amasis MT Pro"/>
                <w:sz w:val="18"/>
                <w:szCs w:val="18"/>
                <w:highlight w:val="yellow"/>
              </w:rPr>
              <w:t>constraints</w:t>
            </w:r>
            <w:r w:rsidRPr="00DC0A22">
              <w:rPr>
                <w:rFonts w:ascii="Amasis MT Pro" w:hAnsi="Amasis MT Pro"/>
                <w:sz w:val="18"/>
                <w:szCs w:val="18"/>
                <w:highlight w:val="yellow"/>
                <w:lang w:val="en-US"/>
              </w:rPr>
              <w:t xml:space="preserve">. </w:t>
            </w:r>
            <w:r w:rsidRPr="00DC0A22">
              <w:rPr>
                <w:rFonts w:ascii="Amasis MT Pro" w:hAnsi="Amasis MT Pro"/>
                <w:sz w:val="18"/>
                <w:szCs w:val="18"/>
                <w:highlight w:val="yellow"/>
              </w:rPr>
              <w:t>H</w:t>
            </w:r>
            <w:proofErr w:type="spellStart"/>
            <w:r w:rsidRPr="00DC0A22">
              <w:rPr>
                <w:rFonts w:ascii="Amasis MT Pro" w:hAnsi="Amasis MT Pro"/>
                <w:sz w:val="18"/>
                <w:szCs w:val="18"/>
                <w:highlight w:val="yellow"/>
                <w:lang w:val="en-US"/>
              </w:rPr>
              <w:t>ydro</w:t>
            </w:r>
            <w:proofErr w:type="spellEnd"/>
            <w:r w:rsidRPr="00DC0A22">
              <w:rPr>
                <w:rFonts w:ascii="Amasis MT Pro" w:hAnsi="Amasis MT Pro"/>
                <w:sz w:val="18"/>
                <w:szCs w:val="18"/>
                <w:highlight w:val="yellow"/>
                <w:lang w:val="en-US"/>
              </w:rPr>
              <w:t xml:space="preserve"> operation is represented using a capacity bound and an equivalent available hydro-energy (water-budget) constraint to prevent over-dispatch over the 24-h horizon. The HT output power at time </w:t>
            </w:r>
            <m:oMath>
              <m:r>
                <w:rPr>
                  <w:rFonts w:ascii="Cambria Math" w:hAnsi="Cambria Math"/>
                  <w:sz w:val="18"/>
                  <w:szCs w:val="18"/>
                  <w:highlight w:val="yellow"/>
                  <w:lang w:val="en-US"/>
                </w:rPr>
                <m:t>t</m:t>
              </m:r>
            </m:oMath>
            <w:r w:rsidRPr="00DC0A22">
              <w:rPr>
                <w:rFonts w:ascii="Amasis MT Pro" w:hAnsi="Amasis MT Pro"/>
                <w:sz w:val="18"/>
                <w:szCs w:val="18"/>
                <w:highlight w:val="yellow"/>
              </w:rPr>
              <w:t xml:space="preserve"> </w:t>
            </w:r>
            <w:r w:rsidRPr="00DC0A22">
              <w:rPr>
                <w:rFonts w:ascii="Amasis MT Pro" w:hAnsi="Amasis MT Pro"/>
                <w:sz w:val="18"/>
                <w:szCs w:val="18"/>
                <w:highlight w:val="yellow"/>
                <w:lang w:val="en-US"/>
              </w:rPr>
              <w:t xml:space="preserve">is </w:t>
            </w:r>
            <w:r w:rsidRPr="00DC0A22">
              <w:rPr>
                <w:rFonts w:ascii="Amasis MT Pro" w:hAnsi="Amasis MT Pro"/>
                <w:sz w:val="18"/>
                <w:szCs w:val="18"/>
                <w:highlight w:val="yellow"/>
              </w:rPr>
              <w:t>limited</w:t>
            </w:r>
            <w:r w:rsidRPr="00DC0A22">
              <w:rPr>
                <w:rFonts w:ascii="Amasis MT Pro" w:hAnsi="Amasis MT Pro"/>
                <w:sz w:val="18"/>
                <w:szCs w:val="18"/>
                <w:highlight w:val="yellow"/>
                <w:lang w:val="en-US"/>
              </w:rPr>
              <w:t xml:space="preserve"> by Eq. (18)</w:t>
            </w:r>
            <w:r w:rsidRPr="00DC0A22">
              <w:rPr>
                <w:rFonts w:ascii="Amasis MT Pro" w:hAnsi="Amasis MT Pro"/>
                <w:sz w:val="18"/>
                <w:szCs w:val="18"/>
                <w:highlight w:val="yellow"/>
              </w:rPr>
              <w:t xml:space="preserve"> as follows</w:t>
            </w:r>
            <w:r w:rsidRPr="00DC0A22">
              <w:rPr>
                <w:rFonts w:ascii="Amasis MT Pro" w:hAnsi="Amasis MT Pro"/>
                <w:sz w:val="18"/>
                <w:szCs w:val="18"/>
                <w:highlight w:val="yellow"/>
                <w:lang w:val="en-US"/>
              </w:rPr>
              <w:t xml:space="preserve"> </w:t>
            </w:r>
            <w:sdt>
              <w:sdtPr>
                <w:rPr>
                  <w:rFonts w:ascii="Amasis MT Pro" w:hAnsi="Amasis MT Pro"/>
                  <w:color w:val="000000"/>
                  <w:sz w:val="18"/>
                  <w:szCs w:val="18"/>
                  <w:highlight w:val="yellow"/>
                  <w:lang w:val="en-US"/>
                </w:rPr>
                <w:tag w:val="MENDELEY_CITATION_v3_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"/>
                <w:id w:val="-69727829"/>
                <w:placeholder>
                  <w:docPart w:val="B62CABBBCBDE496785AFD00CF9393DF9"/>
                </w:placeholder>
              </w:sdtPr>
              <w:sdtContent>
                <w:r w:rsidRPr="00DC0A22">
                  <w:rPr>
                    <w:rFonts w:ascii="Amasis MT Pro" w:hAnsi="Amasis MT Pro"/>
                    <w:color w:val="000000"/>
                    <w:sz w:val="18"/>
                    <w:szCs w:val="18"/>
                    <w:highlight w:val="yellow"/>
                    <w:lang w:val="en-US"/>
                  </w:rPr>
                  <w:t>(Chan et al., 2025)</w:t>
                </w:r>
              </w:sdtContent>
            </w:sdt>
            <w:r w:rsidRPr="00DC0A22">
              <w:rPr>
                <w:rFonts w:ascii="Amasis MT Pro" w:hAnsi="Amasis MT Pro"/>
                <w:sz w:val="18"/>
                <w:szCs w:val="18"/>
                <w:highlight w:val="yellow"/>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796"/>
            </w:tblGrid>
            <w:tr w:rsidR="000C1273" w:rsidRPr="00DC0A22" w14:paraId="769BC611" w14:textId="77777777" w:rsidTr="007B26E8">
              <w:tc>
                <w:tcPr>
                  <w:tcW w:w="4045" w:type="dxa"/>
                  <w:vAlign w:val="center"/>
                </w:tcPr>
                <w:p w14:paraId="27BFD21C" w14:textId="77777777" w:rsidR="000C1273" w:rsidRPr="00DC0A22" w:rsidRDefault="000C1273" w:rsidP="000C1273">
                  <w:pPr>
                    <w:pStyle w:val="icsmbodytext"/>
                    <w:ind w:firstLine="284"/>
                    <w:rPr>
                      <w:rFonts w:ascii="Amasis MT Pro" w:hAnsi="Amasis MT Pro"/>
                      <w:sz w:val="18"/>
                      <w:szCs w:val="18"/>
                      <w:highlight w:val="yellow"/>
                      <w:lang w:val="en-US"/>
                    </w:rPr>
                  </w:pPr>
                  <m:oMathPara>
                    <m:oMathParaPr>
                      <m:jc m:val="left"/>
                    </m:oMathParaPr>
                    <m:oMath>
                      <m:r>
                        <w:rPr>
                          <w:rFonts w:ascii="Cambria Math" w:hAnsi="Cambria Math"/>
                          <w:sz w:val="18"/>
                          <w:szCs w:val="18"/>
                          <w:highlight w:val="yellow"/>
                        </w:rPr>
                        <m:t>0≤</m:t>
                      </m:r>
                      <m:sSubSup>
                        <m:sSubSupPr>
                          <m:ctrlPr>
                            <w:rPr>
                              <w:rFonts w:ascii="Cambria Math" w:hAnsi="Cambria Math"/>
                              <w:i/>
                              <w:sz w:val="18"/>
                              <w:szCs w:val="18"/>
                              <w:highlight w:val="yellow"/>
                            </w:rPr>
                          </m:ctrlPr>
                        </m:sSubSupPr>
                        <m:e>
                          <m:r>
                            <w:rPr>
                              <w:rFonts w:ascii="Cambria Math" w:hAnsi="Cambria Math"/>
                              <w:sz w:val="18"/>
                              <w:szCs w:val="18"/>
                              <w:highlight w:val="yellow"/>
                            </w:rPr>
                            <m:t>P</m:t>
                          </m:r>
                        </m:e>
                        <m:sub>
                          <m:r>
                            <w:rPr>
                              <w:rFonts w:ascii="Cambria Math" w:hAnsi="Cambria Math"/>
                              <w:sz w:val="18"/>
                              <w:szCs w:val="18"/>
                              <w:highlight w:val="yellow"/>
                            </w:rPr>
                            <m:t>t</m:t>
                          </m:r>
                        </m:sub>
                        <m:sup>
                          <m:r>
                            <w:rPr>
                              <w:rFonts w:ascii="Cambria Math" w:hAnsi="Cambria Math"/>
                              <w:sz w:val="18"/>
                              <w:szCs w:val="18"/>
                              <w:highlight w:val="yellow"/>
                            </w:rPr>
                            <m:t>HT</m:t>
                          </m:r>
                        </m:sup>
                      </m:sSubSup>
                      <m:r>
                        <w:rPr>
                          <w:rFonts w:ascii="Cambria Math" w:hAnsi="Cambria Math"/>
                          <w:sz w:val="18"/>
                          <w:szCs w:val="18"/>
                          <w:highlight w:val="yellow"/>
                        </w:rPr>
                        <m:t>≤</m:t>
                      </m:r>
                      <m:sSubSup>
                        <m:sSubSupPr>
                          <m:ctrlPr>
                            <w:rPr>
                              <w:rFonts w:ascii="Cambria Math" w:hAnsi="Cambria Math"/>
                              <w:i/>
                              <w:sz w:val="18"/>
                              <w:szCs w:val="18"/>
                              <w:highlight w:val="yellow"/>
                            </w:rPr>
                          </m:ctrlPr>
                        </m:sSubSupPr>
                        <m:e>
                          <m:r>
                            <w:rPr>
                              <w:rFonts w:ascii="Cambria Math" w:hAnsi="Cambria Math"/>
                              <w:sz w:val="18"/>
                              <w:szCs w:val="18"/>
                              <w:highlight w:val="yellow"/>
                            </w:rPr>
                            <m:t>P</m:t>
                          </m:r>
                        </m:e>
                        <m:sub>
                          <m:r>
                            <w:rPr>
                              <w:rFonts w:ascii="Cambria Math" w:hAnsi="Cambria Math"/>
                              <w:sz w:val="18"/>
                              <w:szCs w:val="18"/>
                              <w:highlight w:val="yellow"/>
                            </w:rPr>
                            <m:t xml:space="preserve"> </m:t>
                          </m:r>
                        </m:sub>
                        <m:sup>
                          <m:r>
                            <w:rPr>
                              <w:rFonts w:ascii="Cambria Math" w:hAnsi="Cambria Math"/>
                              <w:sz w:val="18"/>
                              <w:szCs w:val="18"/>
                              <w:highlight w:val="yellow"/>
                            </w:rPr>
                            <m:t>HT(</m:t>
                          </m:r>
                          <m:r>
                            <m:rPr>
                              <m:sty m:val="p"/>
                            </m:rPr>
                            <w:rPr>
                              <w:rFonts w:ascii="Cambria Math" w:hAnsi="Cambria Math"/>
                              <w:sz w:val="18"/>
                              <w:szCs w:val="18"/>
                              <w:highlight w:val="yellow"/>
                            </w:rPr>
                            <m:t>max)</m:t>
                          </m:r>
                        </m:sup>
                      </m:sSubSup>
                      <m:r>
                        <w:rPr>
                          <w:rFonts w:ascii="Cambria Math" w:hAnsi="Cambria Math"/>
                          <w:sz w:val="18"/>
                          <w:szCs w:val="18"/>
                          <w:highlight w:val="yellow"/>
                        </w:rPr>
                        <m:t>​</m:t>
                      </m:r>
                    </m:oMath>
                  </m:oMathPara>
                </w:p>
              </w:tc>
              <w:tc>
                <w:tcPr>
                  <w:tcW w:w="796" w:type="dxa"/>
                  <w:vAlign w:val="center"/>
                </w:tcPr>
                <w:p w14:paraId="04EC418F" w14:textId="77777777" w:rsidR="000C1273" w:rsidRPr="00DC0A22" w:rsidRDefault="000C1273" w:rsidP="000C1273">
                  <w:pPr>
                    <w:pStyle w:val="icsmbodytext"/>
                    <w:ind w:firstLine="284"/>
                    <w:rPr>
                      <w:rFonts w:ascii="Amasis MT Pro" w:hAnsi="Amasis MT Pro"/>
                      <w:sz w:val="18"/>
                      <w:szCs w:val="18"/>
                      <w:highlight w:val="yellow"/>
                      <w:lang w:val="en-US"/>
                    </w:rPr>
                  </w:pPr>
                  <w:r w:rsidRPr="00DC0A22">
                    <w:rPr>
                      <w:rFonts w:ascii="Amasis MT Pro" w:hAnsi="Amasis MT Pro"/>
                      <w:sz w:val="18"/>
                      <w:szCs w:val="18"/>
                      <w:highlight w:val="yellow"/>
                      <w:lang w:val="en-US"/>
                    </w:rPr>
                    <w:t>(18)</w:t>
                  </w:r>
                </w:p>
              </w:tc>
            </w:tr>
          </w:tbl>
          <w:p w14:paraId="510A6014" w14:textId="651C6202" w:rsidR="000C1273" w:rsidRPr="00DC0A22" w:rsidRDefault="000C1273" w:rsidP="000C1273">
            <w:pPr>
              <w:pStyle w:val="icsmbodytext"/>
              <w:ind w:firstLine="284"/>
              <w:rPr>
                <w:rFonts w:ascii="Amasis MT Pro" w:hAnsi="Amasis MT Pro"/>
                <w:iCs/>
                <w:sz w:val="18"/>
                <w:szCs w:val="18"/>
                <w:highlight w:val="yellow"/>
                <w:lang w:val="en-US"/>
              </w:rPr>
            </w:pPr>
            <w:r w:rsidRPr="00DC0A22">
              <w:rPr>
                <w:rFonts w:ascii="Cambria Math" w:hAnsi="Cambria Math"/>
                <w:iCs/>
                <w:sz w:val="18"/>
                <w:szCs w:val="18"/>
                <w:highlight w:val="yellow"/>
              </w:rPr>
              <w:t>Hydro generation over the horizon is limited by the available hydro energy as follows in Eq. (</w:t>
            </w:r>
            <w:r w:rsidR="00A96143">
              <w:rPr>
                <w:rFonts w:ascii="Cambria Math" w:hAnsi="Cambria Math"/>
                <w:iCs/>
                <w:sz w:val="18"/>
                <w:szCs w:val="18"/>
                <w:highlight w:val="yellow"/>
              </w:rPr>
              <w:t>19</w:t>
            </w:r>
            <w:r w:rsidRPr="00DC0A22">
              <w:rPr>
                <w:rFonts w:ascii="Cambria Math" w:hAnsi="Cambria Math"/>
                <w:iCs/>
                <w:sz w:val="18"/>
                <w:szCs w:val="18"/>
                <w:highlight w:val="yellow"/>
              </w:rPr>
              <w:t>)</w:t>
            </w:r>
            <w:r w:rsidRPr="00DC0A22">
              <w:rPr>
                <w:rFonts w:ascii="Amasis MT Pro" w:hAnsi="Amasis MT Pro"/>
                <w:iCs/>
                <w:sz w:val="18"/>
                <w:szCs w:val="18"/>
                <w:highlight w:val="yellow"/>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796"/>
            </w:tblGrid>
            <w:tr w:rsidR="000C1273" w:rsidRPr="00DC0A22" w14:paraId="7F4E7052" w14:textId="77777777" w:rsidTr="007B26E8">
              <w:tc>
                <w:tcPr>
                  <w:tcW w:w="4045" w:type="dxa"/>
                  <w:vAlign w:val="center"/>
                </w:tcPr>
                <w:p w14:paraId="1614BA4E" w14:textId="77777777" w:rsidR="000C1273" w:rsidRPr="00DC0A22" w:rsidRDefault="00000000" w:rsidP="000C1273">
                  <w:pPr>
                    <w:pStyle w:val="icsmbodytext"/>
                    <w:ind w:firstLine="284"/>
                    <w:rPr>
                      <w:rFonts w:ascii="Amasis MT Pro" w:hAnsi="Amasis MT Pro"/>
                      <w:sz w:val="18"/>
                      <w:szCs w:val="18"/>
                      <w:highlight w:val="yellow"/>
                      <w:lang w:val="en-US"/>
                    </w:rPr>
                  </w:pPr>
                  <m:oMathPara>
                    <m:oMathParaPr>
                      <m:jc m:val="left"/>
                    </m:oMathParaPr>
                    <m:oMath>
                      <m:nary>
                        <m:naryPr>
                          <m:chr m:val="∑"/>
                          <m:limLoc m:val="undOvr"/>
                          <m:grow m:val="1"/>
                          <m:supHide m:val="1"/>
                          <m:ctrlPr>
                            <w:rPr>
                              <w:rFonts w:ascii="Cambria Math" w:hAnsi="Cambria Math"/>
                              <w:sz w:val="18"/>
                              <w:szCs w:val="18"/>
                              <w:highlight w:val="yellow"/>
                              <w:lang w:val="en-US"/>
                            </w:rPr>
                          </m:ctrlPr>
                        </m:naryPr>
                        <m:sub>
                          <m:r>
                            <w:rPr>
                              <w:rFonts w:ascii="Cambria Math" w:hAnsi="Cambria Math"/>
                              <w:sz w:val="18"/>
                              <w:szCs w:val="18"/>
                              <w:highlight w:val="yellow"/>
                              <w:lang w:val="en-US"/>
                            </w:rPr>
                            <m:t>t</m:t>
                          </m:r>
                        </m:sub>
                        <m:sup/>
                        <m:e>
                          <m:r>
                            <m:rPr>
                              <m:sty m:val="p"/>
                            </m:rPr>
                            <w:rPr>
                              <w:rFonts w:ascii="Cambria Math" w:hAnsi="Cambria Math"/>
                              <w:sz w:val="18"/>
                              <w:szCs w:val="18"/>
                              <w:highlight w:val="yellow"/>
                              <w:lang w:val="en-US"/>
                            </w:rPr>
                            <m:t> </m:t>
                          </m:r>
                        </m:e>
                      </m:nary>
                      <m:sSubSup>
                        <m:sSubSupPr>
                          <m:ctrlPr>
                            <w:rPr>
                              <w:rFonts w:ascii="Cambria Math" w:hAnsi="Cambria Math"/>
                              <w:i/>
                              <w:sz w:val="18"/>
                              <w:szCs w:val="18"/>
                              <w:highlight w:val="yellow"/>
                            </w:rPr>
                          </m:ctrlPr>
                        </m:sSubSupPr>
                        <m:e>
                          <m:r>
                            <w:rPr>
                              <w:rFonts w:ascii="Cambria Math" w:hAnsi="Cambria Math"/>
                              <w:sz w:val="18"/>
                              <w:szCs w:val="18"/>
                              <w:highlight w:val="yellow"/>
                            </w:rPr>
                            <m:t>P</m:t>
                          </m:r>
                        </m:e>
                        <m:sub>
                          <m:r>
                            <w:rPr>
                              <w:rFonts w:ascii="Cambria Math" w:hAnsi="Cambria Math"/>
                              <w:sz w:val="18"/>
                              <w:szCs w:val="18"/>
                              <w:highlight w:val="yellow"/>
                            </w:rPr>
                            <m:t>t</m:t>
                          </m:r>
                        </m:sub>
                        <m:sup>
                          <m:r>
                            <w:rPr>
                              <w:rFonts w:ascii="Cambria Math" w:hAnsi="Cambria Math"/>
                              <w:sz w:val="18"/>
                              <w:szCs w:val="18"/>
                              <w:highlight w:val="yellow"/>
                            </w:rPr>
                            <m:t>HT</m:t>
                          </m:r>
                        </m:sup>
                      </m:sSubSup>
                      <m:r>
                        <m:rPr>
                          <m:sty m:val="p"/>
                        </m:rPr>
                        <w:rPr>
                          <w:rFonts w:ascii="Cambria Math" w:hAnsi="Cambria Math"/>
                          <w:sz w:val="18"/>
                          <w:szCs w:val="18"/>
                          <w:highlight w:val="yellow"/>
                          <w:lang w:val="en-US"/>
                        </w:rPr>
                        <m:t>Δ</m:t>
                      </m:r>
                      <m:r>
                        <w:rPr>
                          <w:rFonts w:ascii="Cambria Math" w:hAnsi="Cambria Math"/>
                          <w:sz w:val="18"/>
                          <w:szCs w:val="18"/>
                          <w:highlight w:val="yellow"/>
                          <w:lang w:val="en-US"/>
                        </w:rPr>
                        <m:t>t</m:t>
                      </m:r>
                      <m:r>
                        <m:rPr>
                          <m:sty m:val="p"/>
                        </m:rPr>
                        <w:rPr>
                          <w:rFonts w:ascii="Cambria Math" w:hAnsi="Cambria Math"/>
                          <w:sz w:val="18"/>
                          <w:szCs w:val="18"/>
                          <w:highlight w:val="yellow"/>
                          <w:lang w:val="en-US"/>
                        </w:rPr>
                        <m:t>≤</m:t>
                      </m:r>
                      <m:sSubSup>
                        <m:sSubSupPr>
                          <m:ctrlPr>
                            <w:rPr>
                              <w:rFonts w:ascii="Cambria Math" w:hAnsi="Cambria Math"/>
                              <w:i/>
                              <w:sz w:val="18"/>
                              <w:szCs w:val="18"/>
                              <w:highlight w:val="yellow"/>
                            </w:rPr>
                          </m:ctrlPr>
                        </m:sSubSupPr>
                        <m:e>
                          <m:r>
                            <w:rPr>
                              <w:rFonts w:ascii="Cambria Math" w:hAnsi="Cambria Math"/>
                              <w:sz w:val="18"/>
                              <w:szCs w:val="18"/>
                              <w:highlight w:val="yellow"/>
                            </w:rPr>
                            <m:t>E</m:t>
                          </m:r>
                        </m:e>
                        <m:sub>
                          <m:r>
                            <w:rPr>
                              <w:rFonts w:ascii="Cambria Math" w:hAnsi="Cambria Math"/>
                              <w:sz w:val="18"/>
                              <w:szCs w:val="18"/>
                              <w:highlight w:val="yellow"/>
                            </w:rPr>
                            <m:t>HT</m:t>
                          </m:r>
                        </m:sub>
                        <m:sup>
                          <m:r>
                            <w:rPr>
                              <w:rFonts w:ascii="Cambria Math" w:hAnsi="Cambria Math"/>
                              <w:sz w:val="18"/>
                              <w:szCs w:val="18"/>
                              <w:highlight w:val="yellow"/>
                            </w:rPr>
                            <m:t>avail</m:t>
                          </m:r>
                        </m:sup>
                      </m:sSubSup>
                    </m:oMath>
                  </m:oMathPara>
                </w:p>
              </w:tc>
              <w:tc>
                <w:tcPr>
                  <w:tcW w:w="796" w:type="dxa"/>
                  <w:vAlign w:val="center"/>
                </w:tcPr>
                <w:p w14:paraId="343C106A" w14:textId="523E72C7" w:rsidR="000C1273" w:rsidRPr="00DC0A22" w:rsidRDefault="000C1273" w:rsidP="000C1273">
                  <w:pPr>
                    <w:pStyle w:val="icsmbodytext"/>
                    <w:ind w:firstLine="284"/>
                    <w:rPr>
                      <w:rFonts w:ascii="Amasis MT Pro" w:hAnsi="Amasis MT Pro"/>
                      <w:sz w:val="18"/>
                      <w:szCs w:val="18"/>
                      <w:highlight w:val="yellow"/>
                      <w:lang w:val="en-US"/>
                    </w:rPr>
                  </w:pPr>
                  <w:r w:rsidRPr="00DC0A22">
                    <w:rPr>
                      <w:rFonts w:ascii="Amasis MT Pro" w:hAnsi="Amasis MT Pro"/>
                      <w:sz w:val="18"/>
                      <w:szCs w:val="18"/>
                      <w:highlight w:val="yellow"/>
                      <w:lang w:val="en-US"/>
                    </w:rPr>
                    <w:t>(</w:t>
                  </w:r>
                  <w:r w:rsidR="00A96143">
                    <w:rPr>
                      <w:rFonts w:ascii="Amasis MT Pro" w:hAnsi="Amasis MT Pro"/>
                      <w:sz w:val="18"/>
                      <w:szCs w:val="18"/>
                      <w:highlight w:val="yellow"/>
                      <w:lang w:val="en-US"/>
                    </w:rPr>
                    <w:t>19</w:t>
                  </w:r>
                  <w:r w:rsidRPr="00DC0A22">
                    <w:rPr>
                      <w:rFonts w:ascii="Amasis MT Pro" w:hAnsi="Amasis MT Pro"/>
                      <w:sz w:val="18"/>
                      <w:szCs w:val="18"/>
                      <w:highlight w:val="yellow"/>
                      <w:lang w:val="en-US"/>
                    </w:rPr>
                    <w:t>)</w:t>
                  </w:r>
                </w:p>
              </w:tc>
            </w:tr>
          </w:tbl>
          <w:p w14:paraId="7F37F45E" w14:textId="77777777" w:rsidR="000C1273" w:rsidRPr="00DC0A22" w:rsidRDefault="000C1273" w:rsidP="000C1273">
            <w:pPr>
              <w:pStyle w:val="icsmbodytext"/>
              <w:ind w:firstLine="284"/>
              <w:rPr>
                <w:rFonts w:ascii="Amasis MT Pro" w:hAnsi="Amasis MT Pro"/>
                <w:sz w:val="18"/>
                <w:szCs w:val="18"/>
                <w:highlight w:val="yellow"/>
              </w:rPr>
            </w:pPr>
            <w:r w:rsidRPr="00DC0A22">
              <w:rPr>
                <w:rFonts w:ascii="Cambria Math" w:hAnsi="Cambria Math"/>
                <w:sz w:val="18"/>
                <w:szCs w:val="18"/>
                <w:highlight w:val="yellow"/>
              </w:rPr>
              <w:t xml:space="preserve">where </w:t>
            </w:r>
            <m:oMath>
              <m:sSubSup>
                <m:sSubSupPr>
                  <m:ctrlPr>
                    <w:rPr>
                      <w:rFonts w:ascii="Cambria Math" w:hAnsi="Cambria Math"/>
                      <w:sz w:val="18"/>
                      <w:szCs w:val="18"/>
                      <w:highlight w:val="yellow"/>
                    </w:rPr>
                  </m:ctrlPr>
                </m:sSubSupPr>
                <m:e>
                  <m:r>
                    <m:rPr>
                      <m:sty m:val="p"/>
                    </m:rPr>
                    <w:rPr>
                      <w:rFonts w:ascii="Cambria Math" w:hAnsi="Cambria Math"/>
                      <w:sz w:val="18"/>
                      <w:szCs w:val="18"/>
                      <w:highlight w:val="yellow"/>
                    </w:rPr>
                    <m:t>E</m:t>
                  </m:r>
                </m:e>
                <m:sub>
                  <m:r>
                    <m:rPr>
                      <m:sty m:val="p"/>
                    </m:rPr>
                    <w:rPr>
                      <w:rFonts w:ascii="Cambria Math" w:hAnsi="Cambria Math"/>
                      <w:sz w:val="18"/>
                      <w:szCs w:val="18"/>
                      <w:highlight w:val="yellow"/>
                    </w:rPr>
                    <m:t>HT</m:t>
                  </m:r>
                </m:sub>
                <m:sup>
                  <m:r>
                    <m:rPr>
                      <m:sty m:val="p"/>
                    </m:rPr>
                    <w:rPr>
                      <w:rFonts w:ascii="Cambria Math" w:hAnsi="Cambria Math"/>
                      <w:sz w:val="18"/>
                      <w:szCs w:val="18"/>
                      <w:highlight w:val="yellow"/>
                    </w:rPr>
                    <m:t>avail</m:t>
                  </m:r>
                </m:sup>
              </m:sSubSup>
            </m:oMath>
            <w:r w:rsidRPr="00DC0A22">
              <w:rPr>
                <w:rFonts w:ascii="Cambria Math" w:hAnsi="Cambria Math"/>
                <w:sz w:val="18"/>
                <w:szCs w:val="18"/>
                <w:highlight w:val="yellow"/>
              </w:rPr>
              <w:t>(kWh) signifies the available hydro energy over the scheduling horizon. This energy can be related to the available water resource through an equivalent conversion</w:t>
            </w:r>
            <w:r w:rsidRPr="00DC0A22">
              <w:rPr>
                <w:rFonts w:ascii="Amasis MT Pro" w:hAnsi="Amasis MT Pro"/>
                <w:sz w:val="18"/>
                <w:szCs w:val="18"/>
                <w:highlight w:val="yellow"/>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796"/>
            </w:tblGrid>
            <w:tr w:rsidR="000C1273" w:rsidRPr="00DC0A22" w14:paraId="0A94EE3A" w14:textId="77777777" w:rsidTr="007B26E8">
              <w:trPr>
                <w:trHeight w:val="320"/>
              </w:trPr>
              <w:tc>
                <w:tcPr>
                  <w:tcW w:w="4045" w:type="dxa"/>
                  <w:vAlign w:val="center"/>
                </w:tcPr>
                <w:p w14:paraId="20A6C0A6" w14:textId="77777777" w:rsidR="000C1273" w:rsidRPr="00DC0A22" w:rsidRDefault="00000000" w:rsidP="000C1273">
                  <w:pPr>
                    <w:pStyle w:val="icsmbodytext"/>
                    <w:ind w:firstLine="284"/>
                    <w:rPr>
                      <w:rFonts w:ascii="Amasis MT Pro" w:hAnsi="Amasis MT Pro"/>
                      <w:sz w:val="18"/>
                      <w:szCs w:val="18"/>
                      <w:highlight w:val="yellow"/>
                      <w:lang w:val="en-US"/>
                    </w:rPr>
                  </w:pPr>
                  <m:oMathPara>
                    <m:oMathParaPr>
                      <m:jc m:val="left"/>
                    </m:oMathParaPr>
                    <m:oMath>
                      <m:sSubSup>
                        <m:sSubSupPr>
                          <m:ctrlPr>
                            <w:rPr>
                              <w:rFonts w:ascii="Cambria Math" w:hAnsi="Cambria Math"/>
                              <w:i/>
                              <w:sz w:val="18"/>
                              <w:szCs w:val="18"/>
                              <w:highlight w:val="yellow"/>
                            </w:rPr>
                          </m:ctrlPr>
                        </m:sSubSupPr>
                        <m:e>
                          <m:r>
                            <w:rPr>
                              <w:rFonts w:ascii="Cambria Math" w:hAnsi="Cambria Math"/>
                              <w:sz w:val="18"/>
                              <w:szCs w:val="18"/>
                              <w:highlight w:val="yellow"/>
                            </w:rPr>
                            <m:t>E</m:t>
                          </m:r>
                        </m:e>
                        <m:sub>
                          <m:r>
                            <w:rPr>
                              <w:rFonts w:ascii="Cambria Math" w:hAnsi="Cambria Math"/>
                              <w:sz w:val="18"/>
                              <w:szCs w:val="18"/>
                              <w:highlight w:val="yellow"/>
                            </w:rPr>
                            <m:t>HT</m:t>
                          </m:r>
                        </m:sub>
                        <m:sup>
                          <m:r>
                            <w:rPr>
                              <w:rFonts w:ascii="Cambria Math" w:hAnsi="Cambria Math"/>
                              <w:sz w:val="18"/>
                              <w:szCs w:val="18"/>
                              <w:highlight w:val="yellow"/>
                            </w:rPr>
                            <m:t>avail</m:t>
                          </m: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κ</m:t>
                          </m:r>
                        </m:e>
                        <m:sub>
                          <m:r>
                            <w:rPr>
                              <w:rFonts w:ascii="Cambria Math" w:hAnsi="Cambria Math"/>
                              <w:sz w:val="18"/>
                              <w:szCs w:val="18"/>
                              <w:highlight w:val="yellow"/>
                            </w:rPr>
                            <m:t>HT</m:t>
                          </m:r>
                        </m:sub>
                      </m:sSub>
                      <m:sSub>
                        <m:sSubPr>
                          <m:ctrlPr>
                            <w:rPr>
                              <w:rFonts w:ascii="Cambria Math" w:hAnsi="Cambria Math"/>
                              <w:i/>
                              <w:sz w:val="18"/>
                              <w:szCs w:val="18"/>
                              <w:highlight w:val="yellow"/>
                            </w:rPr>
                          </m:ctrlPr>
                        </m:sSubPr>
                        <m:e>
                          <m:r>
                            <w:rPr>
                              <w:rFonts w:ascii="Cambria Math" w:hAnsi="Cambria Math"/>
                              <w:sz w:val="18"/>
                              <w:szCs w:val="18"/>
                              <w:highlight w:val="yellow"/>
                            </w:rPr>
                            <m:t>w</m:t>
                          </m:r>
                        </m:e>
                        <m:sub>
                          <m:r>
                            <w:rPr>
                              <w:rFonts w:ascii="Cambria Math" w:hAnsi="Cambria Math"/>
                              <w:sz w:val="18"/>
                              <w:szCs w:val="18"/>
                              <w:highlight w:val="yellow"/>
                            </w:rPr>
                            <m:t>avail</m:t>
                          </m:r>
                        </m:sub>
                      </m:sSub>
                    </m:oMath>
                  </m:oMathPara>
                </w:p>
              </w:tc>
              <w:tc>
                <w:tcPr>
                  <w:tcW w:w="796" w:type="dxa"/>
                  <w:vAlign w:val="center"/>
                </w:tcPr>
                <w:p w14:paraId="38395594" w14:textId="06CC8C2B" w:rsidR="000C1273" w:rsidRPr="00DC0A22" w:rsidRDefault="000C1273" w:rsidP="000C1273">
                  <w:pPr>
                    <w:pStyle w:val="icsmbodytext"/>
                    <w:ind w:firstLine="284"/>
                    <w:rPr>
                      <w:rFonts w:ascii="Amasis MT Pro" w:hAnsi="Amasis MT Pro"/>
                      <w:sz w:val="18"/>
                      <w:szCs w:val="18"/>
                      <w:highlight w:val="yellow"/>
                      <w:lang w:val="en-US"/>
                    </w:rPr>
                  </w:pPr>
                  <w:r w:rsidRPr="00DC0A22">
                    <w:rPr>
                      <w:rFonts w:ascii="Amasis MT Pro" w:hAnsi="Amasis MT Pro"/>
                      <w:sz w:val="18"/>
                      <w:szCs w:val="18"/>
                      <w:highlight w:val="yellow"/>
                      <w:lang w:val="en-US"/>
                    </w:rPr>
                    <w:t>(</w:t>
                  </w:r>
                  <w:r w:rsidR="00A96143">
                    <w:rPr>
                      <w:rFonts w:ascii="Amasis MT Pro" w:hAnsi="Amasis MT Pro"/>
                      <w:sz w:val="18"/>
                      <w:szCs w:val="18"/>
                      <w:highlight w:val="yellow"/>
                      <w:lang w:val="en-US"/>
                    </w:rPr>
                    <w:t>20</w:t>
                  </w:r>
                  <w:r w:rsidRPr="00DC0A22">
                    <w:rPr>
                      <w:rFonts w:ascii="Amasis MT Pro" w:hAnsi="Amasis MT Pro"/>
                      <w:sz w:val="18"/>
                      <w:szCs w:val="18"/>
                      <w:highlight w:val="yellow"/>
                      <w:lang w:val="en-US"/>
                    </w:rPr>
                    <w:t>)</w:t>
                  </w:r>
                </w:p>
              </w:tc>
            </w:tr>
          </w:tbl>
          <w:p w14:paraId="525B2E1F" w14:textId="1A166C29" w:rsidR="009A1C96" w:rsidRPr="000C1273" w:rsidRDefault="000C1273" w:rsidP="000C1273">
            <w:pPr>
              <w:pStyle w:val="icsmbodytext"/>
              <w:ind w:firstLine="284"/>
              <w:rPr>
                <w:rFonts w:ascii="Amasis MT Pro" w:hAnsi="Amasis MT Pro"/>
                <w:iCs/>
                <w:sz w:val="18"/>
                <w:szCs w:val="18"/>
                <w:lang w:val="en-US"/>
              </w:rPr>
            </w:pPr>
            <w:r w:rsidRPr="00DC0A22">
              <w:rPr>
                <w:rFonts w:ascii="Amasis MT Pro" w:hAnsi="Amasis MT Pro"/>
                <w:iCs/>
                <w:sz w:val="18"/>
                <w:szCs w:val="18"/>
                <w:highlight w:val="yellow"/>
              </w:rPr>
              <w:t xml:space="preserve">where </w:t>
            </w:r>
            <m:oMath>
              <m:sSub>
                <m:sSubPr>
                  <m:ctrlPr>
                    <w:rPr>
                      <w:rFonts w:ascii="Cambria Math" w:hAnsi="Cambria Math"/>
                      <w:iCs/>
                      <w:sz w:val="18"/>
                      <w:szCs w:val="18"/>
                      <w:highlight w:val="yellow"/>
                    </w:rPr>
                  </m:ctrlPr>
                </m:sSubPr>
                <m:e>
                  <m:r>
                    <w:rPr>
                      <w:rFonts w:ascii="Cambria Math" w:hAnsi="Cambria Math"/>
                      <w:sz w:val="18"/>
                      <w:szCs w:val="18"/>
                      <w:highlight w:val="yellow"/>
                    </w:rPr>
                    <m:t>W</m:t>
                  </m:r>
                </m:e>
                <m:sub>
                  <m:r>
                    <w:rPr>
                      <w:rFonts w:ascii="Cambria Math" w:hAnsi="Cambria Math"/>
                      <w:sz w:val="18"/>
                      <w:szCs w:val="18"/>
                      <w:highlight w:val="yellow"/>
                    </w:rPr>
                    <m:t>avail</m:t>
                  </m:r>
                </m:sub>
              </m:sSub>
            </m:oMath>
            <w:r w:rsidRPr="00DC0A22">
              <w:rPr>
                <w:rFonts w:ascii="Amasis MT Pro" w:hAnsi="Amasis MT Pro"/>
                <w:iCs/>
                <w:sz w:val="18"/>
                <w:szCs w:val="18"/>
                <w:highlight w:val="yellow"/>
              </w:rPr>
              <w:t xml:space="preserve"> represents the usable water volume over the horizon and </w:t>
            </w:r>
            <m:oMath>
              <m:sSub>
                <m:sSubPr>
                  <m:ctrlPr>
                    <w:rPr>
                      <w:rFonts w:ascii="Cambria Math" w:hAnsi="Cambria Math"/>
                      <w:iCs/>
                      <w:sz w:val="18"/>
                      <w:szCs w:val="18"/>
                      <w:highlight w:val="yellow"/>
                    </w:rPr>
                  </m:ctrlPr>
                </m:sSubPr>
                <m:e>
                  <m:r>
                    <w:rPr>
                      <w:rFonts w:ascii="Cambria Math" w:hAnsi="Cambria Math"/>
                      <w:sz w:val="18"/>
                      <w:szCs w:val="18"/>
                      <w:highlight w:val="yellow"/>
                    </w:rPr>
                    <m:t>κ</m:t>
                  </m:r>
                </m:e>
                <m:sub>
                  <m:r>
                    <w:rPr>
                      <w:rFonts w:ascii="Cambria Math" w:hAnsi="Cambria Math"/>
                      <w:sz w:val="18"/>
                      <w:szCs w:val="18"/>
                      <w:highlight w:val="yellow"/>
                    </w:rPr>
                    <m:t>HT</m:t>
                  </m:r>
                </m:sub>
              </m:sSub>
            </m:oMath>
            <w:r w:rsidRPr="00DC0A22">
              <w:rPr>
                <w:rFonts w:ascii="Amasis MT Pro" w:hAnsi="Amasis MT Pro"/>
                <w:iCs/>
                <w:sz w:val="18"/>
                <w:szCs w:val="18"/>
                <w:highlight w:val="yellow"/>
              </w:rPr>
              <w:t xml:space="preserve"> is an equivalent conversion coefficient that captures effective head and turbine-generator efficiency. This formulation ensures feasible HT scheduling without requiring a detailed hydraulic model.</w:t>
            </w:r>
          </w:p>
        </w:tc>
      </w:tr>
    </w:tbl>
    <w:p w14:paraId="1A487D8E" w14:textId="77777777" w:rsidR="00E57460" w:rsidRPr="00E57460" w:rsidRDefault="00E57460" w:rsidP="00E57460"/>
    <w:p w14:paraId="6A05760B" w14:textId="77777777" w:rsidR="00E57460" w:rsidRPr="00594381" w:rsidRDefault="00E57460" w:rsidP="00E57460">
      <w:pPr>
        <w:rPr>
          <w:b/>
          <w:bCs/>
        </w:rPr>
      </w:pPr>
      <w:r w:rsidRPr="00594381">
        <w:rPr>
          <w:b/>
          <w:bCs/>
        </w:rPr>
        <w:t>2. Results and Discussion</w:t>
      </w:r>
    </w:p>
    <w:tbl>
      <w:tblPr>
        <w:tblStyle w:val="TableGrid"/>
        <w:tblW w:w="0" w:type="auto"/>
        <w:tblLook w:val="04A0" w:firstRow="1" w:lastRow="0" w:firstColumn="1" w:lastColumn="0" w:noHBand="0" w:noVBand="1"/>
      </w:tblPr>
      <w:tblGrid>
        <w:gridCol w:w="9350"/>
      </w:tblGrid>
      <w:tr w:rsidR="00783539" w14:paraId="2B11F043" w14:textId="77777777" w:rsidTr="00E25C21">
        <w:tc>
          <w:tcPr>
            <w:tcW w:w="9350" w:type="dxa"/>
            <w:shd w:val="clear" w:color="auto" w:fill="FFF2CC" w:themeFill="accent4" w:themeFillTint="33"/>
          </w:tcPr>
          <w:p w14:paraId="120709BF" w14:textId="77777777" w:rsidR="00783539" w:rsidRPr="006F7EA2" w:rsidRDefault="00783539" w:rsidP="00E25C21">
            <w:pPr>
              <w:rPr>
                <w:b/>
                <w:bCs/>
              </w:rPr>
            </w:pPr>
            <w:r w:rsidRPr="00D238B2">
              <w:rPr>
                <w:b/>
                <w:bCs/>
              </w:rPr>
              <w:t>Comment:</w:t>
            </w:r>
          </w:p>
          <w:p w14:paraId="330D94CB" w14:textId="126F09F0" w:rsidR="00783539" w:rsidRDefault="00783539" w:rsidP="00783539">
            <w:pPr>
              <w:jc w:val="both"/>
            </w:pPr>
            <w:r w:rsidRPr="00E57460">
              <w:t>• Pareto Front Analysis: Figures 12 and 13 show the Pareto fronts. The authors claim that DR shifts the cost range to $6,300–$11,1509. However, the "without DR" scenario is cited as having a lower bound of $5,50010. This implies that the minimum possible cost increased with DR, which contradicts the claim of "cost savings. Provide a deeper analysis of why the lower bound of the Pareto front shifted upward if DR is meant to provide flexibility.</w:t>
            </w:r>
          </w:p>
        </w:tc>
      </w:tr>
      <w:tr w:rsidR="00783539" w:rsidRPr="006F7EA2" w14:paraId="58E4B6FE" w14:textId="77777777" w:rsidTr="00E25C21">
        <w:tc>
          <w:tcPr>
            <w:tcW w:w="9350" w:type="dxa"/>
            <w:shd w:val="clear" w:color="auto" w:fill="F9CEFA"/>
          </w:tcPr>
          <w:p w14:paraId="461C8A29" w14:textId="77777777" w:rsidR="00673172" w:rsidRPr="0093283B" w:rsidRDefault="00673172" w:rsidP="00673172">
            <w:pPr>
              <w:spacing w:line="360" w:lineRule="auto"/>
              <w:jc w:val="both"/>
              <w:rPr>
                <w:b/>
                <w:bCs/>
              </w:rPr>
            </w:pPr>
            <w:r w:rsidRPr="0093283B">
              <w:rPr>
                <w:b/>
                <w:bCs/>
              </w:rPr>
              <w:t>Response:</w:t>
            </w:r>
          </w:p>
          <w:p w14:paraId="496F870C" w14:textId="77777777" w:rsidR="00673172" w:rsidRDefault="00673172" w:rsidP="00673172">
            <w:pPr>
              <w:spacing w:line="360" w:lineRule="auto"/>
              <w:jc w:val="both"/>
            </w:pPr>
            <w:r w:rsidRPr="00673172">
              <w:t>The reviewer's observation is acknowledged. The reported "cost savings" are not contradicted by the apparent upward shift of the minimum cost point (≈$5,500 without DR vs. ≈$6,300 with DR). The savings statement refers to the representative operating point selected from the Pareto set (the highlighted "Best Solution"), rather than the single extreme endpoint of the Pareto front. In multi-objective optimization, the minimum-cost endpoint is often an extreme solution that can be attained by sacrificing a competing objective (in this case, emissions), therefore it is not always an appropriate dispatch option.</w:t>
            </w:r>
          </w:p>
          <w:p w14:paraId="7404029A" w14:textId="56F0048C" w:rsidR="00806C34" w:rsidRPr="00673172" w:rsidRDefault="00673172" w:rsidP="00673172">
            <w:pPr>
              <w:spacing w:line="360" w:lineRule="auto"/>
              <w:jc w:val="both"/>
              <w:rPr>
                <w:rtl/>
              </w:rPr>
            </w:pPr>
            <w:r w:rsidRPr="00673172">
              <w:t xml:space="preserve">Furthermore, in the DR-enabled example, the feasible set and cost composition vary because DR adds new limitations (e.g., flexibility limits and energy/comfort preservation) and may incorporate compensation/incentive-related cost components in the overall objective. These </w:t>
            </w:r>
            <w:r w:rsidRPr="00673172">
              <w:lastRenderedPageBreak/>
              <w:t>characteristics may slightly increase the absolute minimum attainable cost, even while DR improves the trade-off region and produces better compromise solutions. Importantly, when compared to the chosen compromise solution (used for operational discussion), DR provides a lower-cost and lower-emission operating point: the "Best Solution" decreases from C = 9847.1 (without DR) to C = 8074.6 (with DR), while emissions decrease from E = 15661.7 to E = 12842.6, as shown in Figs 12-13. The text has been changed to state that the performance comparison is based on the chosen compromise point, whereas the extreme endpoints primarily reflect boundary trade-offs and are sensitive to discrete Pareto sampling.</w:t>
            </w:r>
          </w:p>
        </w:tc>
      </w:tr>
      <w:tr w:rsidR="00783539" w:rsidRPr="006F7EA2" w14:paraId="7F0E663C" w14:textId="77777777" w:rsidTr="0003343F">
        <w:trPr>
          <w:trHeight w:val="260"/>
        </w:trPr>
        <w:tc>
          <w:tcPr>
            <w:tcW w:w="9350" w:type="dxa"/>
            <w:shd w:val="clear" w:color="auto" w:fill="E2EFD9" w:themeFill="accent6" w:themeFillTint="33"/>
          </w:tcPr>
          <w:p w14:paraId="7618F65E" w14:textId="30E68D6B" w:rsidR="00783539" w:rsidRPr="0003343F" w:rsidRDefault="00783539" w:rsidP="00E25C21">
            <w:pPr>
              <w:rPr>
                <w:b/>
                <w:bCs/>
                <w:color w:val="EE0000"/>
              </w:rPr>
            </w:pPr>
            <w:r w:rsidRPr="0003343F">
              <w:rPr>
                <w:b/>
                <w:bCs/>
                <w:color w:val="EE0000"/>
              </w:rPr>
              <w:lastRenderedPageBreak/>
              <w:t>Action:</w:t>
            </w:r>
          </w:p>
          <w:p w14:paraId="4546F04C" w14:textId="3F1B9D44" w:rsidR="003D5737" w:rsidRPr="00D238B2" w:rsidRDefault="0003343F" w:rsidP="00A96143">
            <w:pPr>
              <w:spacing w:line="360" w:lineRule="auto"/>
              <w:jc w:val="both"/>
              <w:rPr>
                <w:b/>
                <w:bCs/>
                <w:color w:val="EE0000"/>
                <w:highlight w:val="cyan"/>
              </w:rPr>
            </w:pPr>
            <w:r w:rsidRPr="003E2D67">
              <w:rPr>
                <w:rFonts w:ascii="Amasis MT Pro" w:hAnsi="Amasis MT Pro"/>
                <w:sz w:val="18"/>
                <w:szCs w:val="18"/>
                <w:highlight w:val="yellow"/>
              </w:rPr>
              <w:t xml:space="preserve">The representative best solution from the Pareto set is used in the comparative analysis. Fig. 12 and Fig. 13 shows that DR improves the practical cost-emission trade-off. This is notable because DR increases performance by lowering both objectives simultaneously (without DR, C = 9847.1 and E = 15661.7; with DR, C = 8074.6 and E = 12842.6). </w:t>
            </w:r>
          </w:p>
          <w:p w14:paraId="2B668744" w14:textId="74CFF00C" w:rsidR="0099445E" w:rsidRPr="00D238B2" w:rsidRDefault="003259CE" w:rsidP="00E25C21">
            <w:pPr>
              <w:rPr>
                <w:b/>
                <w:bCs/>
                <w:color w:val="EE0000"/>
                <w:highlight w:val="cyan"/>
              </w:rPr>
            </w:pPr>
            <w:r w:rsidRPr="00D238B2">
              <w:rPr>
                <w:noProof/>
                <w:highlight w:val="cyan"/>
              </w:rPr>
              <w:drawing>
                <wp:inline distT="0" distB="0" distL="0" distR="0" wp14:anchorId="68390121" wp14:editId="3AA0BFBA">
                  <wp:extent cx="2926080" cy="2342120"/>
                  <wp:effectExtent l="0" t="0" r="7620" b="127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2926080" cy="2342120"/>
                          </a:xfrm>
                          <a:prstGeom prst="rect">
                            <a:avLst/>
                          </a:prstGeom>
                        </pic:spPr>
                      </pic:pic>
                    </a:graphicData>
                  </a:graphic>
                </wp:inline>
              </w:drawing>
            </w:r>
          </w:p>
          <w:p w14:paraId="5C2FE6C7" w14:textId="7167A6FF" w:rsidR="0099445E" w:rsidRPr="00D238B2" w:rsidRDefault="003259CE" w:rsidP="00E25C21">
            <w:pPr>
              <w:rPr>
                <w:b/>
                <w:bCs/>
                <w:color w:val="EE0000"/>
                <w:highlight w:val="cyan"/>
              </w:rPr>
            </w:pPr>
            <w:r w:rsidRPr="00D238B2">
              <w:rPr>
                <w:b/>
                <w:bCs/>
                <w:color w:val="EE0000"/>
                <w:highlight w:val="cyan"/>
              </w:rPr>
              <w:t>Fig 12</w:t>
            </w:r>
          </w:p>
          <w:p w14:paraId="5D8E97D1" w14:textId="426327CF" w:rsidR="003259CE" w:rsidRPr="00D238B2" w:rsidRDefault="003259CE" w:rsidP="00E25C21">
            <w:pPr>
              <w:rPr>
                <w:b/>
                <w:bCs/>
                <w:color w:val="EE0000"/>
                <w:highlight w:val="cyan"/>
              </w:rPr>
            </w:pPr>
          </w:p>
          <w:p w14:paraId="70FB05D7" w14:textId="1473A62E" w:rsidR="003259CE" w:rsidRPr="00D238B2" w:rsidRDefault="003259CE" w:rsidP="00E25C21">
            <w:pPr>
              <w:rPr>
                <w:b/>
                <w:bCs/>
                <w:color w:val="EE0000"/>
                <w:highlight w:val="cyan"/>
              </w:rPr>
            </w:pPr>
            <w:r w:rsidRPr="00D238B2">
              <w:rPr>
                <w:noProof/>
                <w:highlight w:val="cyan"/>
              </w:rPr>
              <w:drawing>
                <wp:inline distT="0" distB="0" distL="0" distR="0" wp14:anchorId="5A0113B6" wp14:editId="21F63545">
                  <wp:extent cx="2926080" cy="2342120"/>
                  <wp:effectExtent l="0" t="0" r="7620" b="127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2926080" cy="2342120"/>
                          </a:xfrm>
                          <a:prstGeom prst="rect">
                            <a:avLst/>
                          </a:prstGeom>
                        </pic:spPr>
                      </pic:pic>
                    </a:graphicData>
                  </a:graphic>
                </wp:inline>
              </w:drawing>
            </w:r>
          </w:p>
          <w:p w14:paraId="594D2196" w14:textId="29B639F8" w:rsidR="006F75D7" w:rsidRPr="0003343F" w:rsidRDefault="003259CE" w:rsidP="0003343F">
            <w:pPr>
              <w:rPr>
                <w:b/>
                <w:bCs/>
                <w:color w:val="EE0000"/>
                <w:highlight w:val="cyan"/>
              </w:rPr>
            </w:pPr>
            <w:r w:rsidRPr="00D238B2">
              <w:rPr>
                <w:b/>
                <w:bCs/>
                <w:color w:val="EE0000"/>
                <w:highlight w:val="cyan"/>
              </w:rPr>
              <w:lastRenderedPageBreak/>
              <w:t>Fig 13</w:t>
            </w:r>
          </w:p>
        </w:tc>
      </w:tr>
    </w:tbl>
    <w:p w14:paraId="2FA14DED" w14:textId="77777777" w:rsidR="00783539" w:rsidRDefault="00783539" w:rsidP="00E57460"/>
    <w:tbl>
      <w:tblPr>
        <w:tblStyle w:val="TableGrid"/>
        <w:tblW w:w="0" w:type="auto"/>
        <w:tblLook w:val="04A0" w:firstRow="1" w:lastRow="0" w:firstColumn="1" w:lastColumn="0" w:noHBand="0" w:noVBand="1"/>
      </w:tblPr>
      <w:tblGrid>
        <w:gridCol w:w="9350"/>
      </w:tblGrid>
      <w:tr w:rsidR="00783539" w14:paraId="7B4E5D26" w14:textId="77777777" w:rsidTr="00E25C21">
        <w:tc>
          <w:tcPr>
            <w:tcW w:w="9350" w:type="dxa"/>
            <w:shd w:val="clear" w:color="auto" w:fill="FFF2CC" w:themeFill="accent4" w:themeFillTint="33"/>
          </w:tcPr>
          <w:p w14:paraId="35A073EB" w14:textId="77777777" w:rsidR="00783539" w:rsidRPr="006F7EA2" w:rsidRDefault="00783539" w:rsidP="00E25C21">
            <w:pPr>
              <w:rPr>
                <w:b/>
                <w:bCs/>
              </w:rPr>
            </w:pPr>
            <w:r w:rsidRPr="006F7EA2">
              <w:rPr>
                <w:b/>
                <w:bCs/>
              </w:rPr>
              <w:t>Comment:</w:t>
            </w:r>
          </w:p>
          <w:p w14:paraId="678BDA9B" w14:textId="2721B22C" w:rsidR="00783539" w:rsidRDefault="00783539" w:rsidP="00783539">
            <w:pPr>
              <w:jc w:val="both"/>
            </w:pPr>
            <w:r w:rsidRPr="00E57460">
              <w:t>• Scalability: The study uses 150 users. The authors should discuss the computational complexity of the NSGA-II algorithm as the number of users or resources increases to prove the framework's scalability for larger distribution networks.</w:t>
            </w:r>
          </w:p>
        </w:tc>
      </w:tr>
      <w:tr w:rsidR="00783539" w:rsidRPr="006F7EA2" w14:paraId="735B5876" w14:textId="77777777" w:rsidTr="00E25C21">
        <w:tc>
          <w:tcPr>
            <w:tcW w:w="9350" w:type="dxa"/>
            <w:shd w:val="clear" w:color="auto" w:fill="F9CEFA"/>
          </w:tcPr>
          <w:p w14:paraId="085869C7" w14:textId="77777777" w:rsidR="00783539" w:rsidRPr="006F7EA2" w:rsidRDefault="00783539" w:rsidP="00E25C21">
            <w:pPr>
              <w:rPr>
                <w:b/>
                <w:bCs/>
              </w:rPr>
            </w:pPr>
            <w:r w:rsidRPr="006F7EA2">
              <w:rPr>
                <w:b/>
                <w:bCs/>
              </w:rPr>
              <w:t>Response:</w:t>
            </w:r>
          </w:p>
          <w:p w14:paraId="42DEAB38" w14:textId="26A9193D" w:rsidR="0026184D" w:rsidRPr="00954F72" w:rsidRDefault="0026184D" w:rsidP="001B325A">
            <w:pPr>
              <w:spacing w:line="360" w:lineRule="auto"/>
              <w:jc w:val="both"/>
            </w:pPr>
            <w:r>
              <w:t>Thank you for the comment. A scalability discussion has been added to the Methodology section, clarifying that NSGA-II runtime increases with the selected population/generation settings and, in this framework, is largely driven by repeated evaluation of candidate schedules over the 24-hour horizon across all users and modeled resources. It is stated that increasing the number of users/resources increases evaluation workload and runtime. Future work is noted for extending the framework to larger distribution networks and quantifying runtime growth.</w:t>
            </w:r>
          </w:p>
        </w:tc>
      </w:tr>
      <w:tr w:rsidR="00783539" w:rsidRPr="006F7EA2" w14:paraId="2A195ABE" w14:textId="77777777" w:rsidTr="00E25C21">
        <w:tc>
          <w:tcPr>
            <w:tcW w:w="9350" w:type="dxa"/>
            <w:shd w:val="clear" w:color="auto" w:fill="E2EFD9" w:themeFill="accent6" w:themeFillTint="33"/>
          </w:tcPr>
          <w:p w14:paraId="691B8812" w14:textId="5D63F059" w:rsidR="00783539" w:rsidRDefault="00783539" w:rsidP="00E25C21">
            <w:pPr>
              <w:rPr>
                <w:b/>
                <w:bCs/>
                <w:color w:val="EE0000"/>
              </w:rPr>
            </w:pPr>
            <w:r w:rsidRPr="00783539">
              <w:rPr>
                <w:b/>
                <w:bCs/>
                <w:color w:val="EE0000"/>
              </w:rPr>
              <w:t>Action:</w:t>
            </w:r>
          </w:p>
          <w:p w14:paraId="5E085FA5" w14:textId="29CB14C9" w:rsidR="0026184D" w:rsidRDefault="0026184D" w:rsidP="0026184D">
            <w:pPr>
              <w:spacing w:before="240"/>
              <w:rPr>
                <w:b/>
                <w:bCs/>
                <w:color w:val="EE0000"/>
              </w:rPr>
            </w:pPr>
            <w:r>
              <w:rPr>
                <w:b/>
                <w:bCs/>
                <w:color w:val="EE0000"/>
              </w:rPr>
              <w:t>action in methodology:</w:t>
            </w:r>
          </w:p>
          <w:p w14:paraId="18325362" w14:textId="77777777" w:rsidR="0026184D" w:rsidRDefault="0026184D" w:rsidP="0026184D">
            <w:pPr>
              <w:pStyle w:val="icsmbodytext"/>
              <w:ind w:firstLine="284"/>
              <w:rPr>
                <w:rFonts w:ascii="Amasis MT Pro" w:hAnsi="Amasis MT Pro"/>
                <w:sz w:val="18"/>
                <w:szCs w:val="18"/>
                <w:lang w:val="en-US"/>
              </w:rPr>
            </w:pPr>
            <w:r w:rsidRPr="00C672E7">
              <w:rPr>
                <w:highlight w:val="green"/>
              </w:rPr>
              <w:t>Scalability beyond the 150-user case study is discussed by noting that the computational burden of NSGA-II increases with the chosen population size and number of generations, and</w:t>
            </w:r>
            <w:r>
              <w:rPr>
                <w:highlight w:val="green"/>
              </w:rPr>
              <w:t xml:space="preserve"> </w:t>
            </w:r>
            <w:r w:rsidRPr="00C672E7">
              <w:rPr>
                <w:highlight w:val="green"/>
              </w:rPr>
              <w:t>more critically in the present framework</w:t>
            </w:r>
            <w:r>
              <w:rPr>
                <w:highlight w:val="green"/>
              </w:rPr>
              <w:t xml:space="preserve"> </w:t>
            </w:r>
            <w:r w:rsidRPr="00C672E7">
              <w:rPr>
                <w:highlight w:val="green"/>
              </w:rPr>
              <w:t xml:space="preserve">with the cost of evaluating each candidate schedule. For each candidate solution, objective values and feasibility checks are computed across the full 24-hour horizon and across all users and </w:t>
            </w:r>
            <w:r w:rsidRPr="00C672E7">
              <w:rPr>
                <w:highlight w:val="green"/>
                <w:lang w:val="en-US"/>
              </w:rPr>
              <w:t>modeled</w:t>
            </w:r>
            <w:r w:rsidRPr="00C672E7">
              <w:rPr>
                <w:highlight w:val="green"/>
              </w:rPr>
              <w:t xml:space="preserve">, including operational constraints such as power balance and device limits. As the number of users and/or </w:t>
            </w:r>
            <w:proofErr w:type="spellStart"/>
            <w:r w:rsidRPr="00C672E7">
              <w:rPr>
                <w:highlight w:val="green"/>
              </w:rPr>
              <w:t>modeled</w:t>
            </w:r>
            <w:proofErr w:type="spellEnd"/>
            <w:r w:rsidRPr="00C672E7">
              <w:rPr>
                <w:highlight w:val="green"/>
              </w:rPr>
              <w:t xml:space="preserve"> resources increases, the per-candidate evaluation workload increases accordingly under fixed NSGA-II settings, resulting in higher overall runtime.</w:t>
            </w:r>
          </w:p>
          <w:p w14:paraId="11AB921C" w14:textId="1CBEC3A2" w:rsidR="0026184D" w:rsidRDefault="0026184D" w:rsidP="0026184D">
            <w:pPr>
              <w:spacing w:before="240"/>
              <w:rPr>
                <w:b/>
                <w:bCs/>
                <w:color w:val="EE0000"/>
              </w:rPr>
            </w:pPr>
            <w:r>
              <w:rPr>
                <w:b/>
                <w:bCs/>
                <w:color w:val="EE0000"/>
              </w:rPr>
              <w:t>action in conclusion:</w:t>
            </w:r>
          </w:p>
          <w:p w14:paraId="125D8DE6" w14:textId="778CF196" w:rsidR="0026184D" w:rsidRPr="006F7EA2" w:rsidRDefault="0026184D" w:rsidP="00E25C21">
            <w:pPr>
              <w:rPr>
                <w:b/>
                <w:bCs/>
              </w:rPr>
            </w:pPr>
            <w:r w:rsidRPr="0026184D">
              <w:rPr>
                <w:rFonts w:ascii="Times New Roman" w:eastAsia="Times New Roman" w:hAnsi="Times New Roman" w:cs="Times New Roman"/>
                <w:kern w:val="0"/>
                <w:sz w:val="20"/>
                <w:szCs w:val="20"/>
                <w:highlight w:val="green"/>
                <w14:ligatures w14:val="none"/>
              </w:rPr>
              <w:t>Future work will also address toward large-scale distribution networks with higher numbers of users and additional resources, where runtime growth under increasing system size is to be quantified. Scalability-oriented implementations are to be investigated, including parallel evaluation of candidate solutions and user aggregation into representative profiles, in order to maintain computational tractability for larger systems.</w:t>
            </w:r>
          </w:p>
        </w:tc>
      </w:tr>
    </w:tbl>
    <w:p w14:paraId="339547A2" w14:textId="77777777" w:rsidR="00E57460" w:rsidRPr="00594381" w:rsidRDefault="00E57460" w:rsidP="00E57460">
      <w:pPr>
        <w:rPr>
          <w:b/>
          <w:bCs/>
        </w:rPr>
      </w:pPr>
    </w:p>
    <w:p w14:paraId="00E9E4E0" w14:textId="22E91CC0" w:rsidR="00E57460" w:rsidRPr="00594381" w:rsidRDefault="00E57460" w:rsidP="00E57460">
      <w:pPr>
        <w:rPr>
          <w:b/>
          <w:bCs/>
        </w:rPr>
      </w:pPr>
      <w:r w:rsidRPr="00594381">
        <w:rPr>
          <w:b/>
          <w:bCs/>
        </w:rPr>
        <w:t>3. Comparative Evaluation</w:t>
      </w:r>
    </w:p>
    <w:tbl>
      <w:tblPr>
        <w:tblStyle w:val="TableGrid"/>
        <w:tblW w:w="0" w:type="auto"/>
        <w:tblLook w:val="04A0" w:firstRow="1" w:lastRow="0" w:firstColumn="1" w:lastColumn="0" w:noHBand="0" w:noVBand="1"/>
      </w:tblPr>
      <w:tblGrid>
        <w:gridCol w:w="9350"/>
      </w:tblGrid>
      <w:tr w:rsidR="00783539" w14:paraId="1D3CB47B" w14:textId="77777777" w:rsidTr="00E25C21">
        <w:tc>
          <w:tcPr>
            <w:tcW w:w="9350" w:type="dxa"/>
            <w:shd w:val="clear" w:color="auto" w:fill="FFF2CC" w:themeFill="accent4" w:themeFillTint="33"/>
          </w:tcPr>
          <w:p w14:paraId="32FC7067" w14:textId="77777777" w:rsidR="00783539" w:rsidRPr="006F7EA2" w:rsidRDefault="00783539" w:rsidP="00E25C21">
            <w:pPr>
              <w:rPr>
                <w:b/>
                <w:bCs/>
              </w:rPr>
            </w:pPr>
            <w:r w:rsidRPr="00D238B2">
              <w:rPr>
                <w:b/>
                <w:bCs/>
              </w:rPr>
              <w:t>Comment:</w:t>
            </w:r>
          </w:p>
          <w:p w14:paraId="1970F391" w14:textId="1284C071" w:rsidR="00783539" w:rsidRDefault="00783539" w:rsidP="00783539">
            <w:pPr>
              <w:jc w:val="both"/>
            </w:pPr>
            <w:r w:rsidRPr="00E57460">
              <w:t>• Algorithm Benchmarking: The methodology uses NSGA-II. To demonstrate the "efficiency" of the proposed framework, the results should be compared against other established MOO algorithms (e.g., MOPSO or SPEA2) or recent metaheuristics mentioned in the literature review</w:t>
            </w:r>
          </w:p>
        </w:tc>
      </w:tr>
      <w:tr w:rsidR="00783539" w:rsidRPr="006F7EA2" w14:paraId="5B596B89" w14:textId="77777777" w:rsidTr="00E25C21">
        <w:tc>
          <w:tcPr>
            <w:tcW w:w="9350" w:type="dxa"/>
            <w:shd w:val="clear" w:color="auto" w:fill="F9CEFA"/>
          </w:tcPr>
          <w:p w14:paraId="3CE48C01" w14:textId="77777777" w:rsidR="00783539" w:rsidRPr="00585094" w:rsidRDefault="00783539" w:rsidP="00E25C21">
            <w:pPr>
              <w:rPr>
                <w:b/>
                <w:bCs/>
              </w:rPr>
            </w:pPr>
            <w:r w:rsidRPr="00585094">
              <w:rPr>
                <w:b/>
                <w:bCs/>
              </w:rPr>
              <w:t>Response:</w:t>
            </w:r>
          </w:p>
          <w:p w14:paraId="26DBDA7B" w14:textId="28356BD3" w:rsidR="00783539" w:rsidRPr="00D238B2" w:rsidRDefault="00585094" w:rsidP="001B325A">
            <w:pPr>
              <w:spacing w:line="360" w:lineRule="auto"/>
              <w:jc w:val="both"/>
              <w:rPr>
                <w:highlight w:val="cyan"/>
              </w:rPr>
            </w:pPr>
            <w:r w:rsidRPr="00585094">
              <w:t xml:space="preserve">Thank you for your suggestion. To show the efficiency of the NSGA-II-based framework, we benchmarked the algorithm against an existing multi-objective optimizer, MOPSO, via identical </w:t>
            </w:r>
            <w:r w:rsidRPr="00585094">
              <w:lastRenderedPageBreak/>
              <w:t xml:space="preserve">experimental settings. Both algorithms were run with the same population size (50) and termination criterion (200 generations) and used the identical problem formulation, constraints, and objective functions. A convergence plot (Fig. 14) was added to show search progress, and Table </w:t>
            </w:r>
            <w:r w:rsidR="00E04D5B">
              <w:t>2</w:t>
            </w:r>
            <w:r w:rsidRPr="00585094">
              <w:t xml:space="preserve"> was added to give the best-compromise operating point and runtime for both with-DR and without-DR scenarios. The results reveal that NSGA-II provides a stronger compromise in the DR situation (NSGA-II: C = 8074.6, E = 12842.6) than MOPSO (C = 8345.5, E = 13127.4) with a comparable runtime (418 s vs. 451 s), hence confirming the efficiency claim.</w:t>
            </w:r>
          </w:p>
        </w:tc>
      </w:tr>
      <w:tr w:rsidR="00783539" w:rsidRPr="006F7EA2" w14:paraId="7F81F3F3" w14:textId="77777777" w:rsidTr="00C40646">
        <w:trPr>
          <w:trHeight w:val="9053"/>
        </w:trPr>
        <w:tc>
          <w:tcPr>
            <w:tcW w:w="9350" w:type="dxa"/>
            <w:shd w:val="clear" w:color="auto" w:fill="E2EFD9" w:themeFill="accent6" w:themeFillTint="33"/>
          </w:tcPr>
          <w:p w14:paraId="1C0F4A11" w14:textId="77777777" w:rsidR="00783539" w:rsidRPr="00585094" w:rsidRDefault="00783539" w:rsidP="00E25C21">
            <w:pPr>
              <w:rPr>
                <w:b/>
                <w:bCs/>
                <w:color w:val="EE0000"/>
              </w:rPr>
            </w:pPr>
            <w:r w:rsidRPr="00585094">
              <w:rPr>
                <w:b/>
                <w:bCs/>
                <w:color w:val="EE0000"/>
              </w:rPr>
              <w:lastRenderedPageBreak/>
              <w:t>Action:</w:t>
            </w:r>
          </w:p>
          <w:p w14:paraId="41D8054F" w14:textId="77777777" w:rsidR="00CC25B6" w:rsidRPr="003E2D67" w:rsidRDefault="00CC25B6" w:rsidP="00CC25B6">
            <w:pPr>
              <w:pStyle w:val="icsmbodytext"/>
              <w:ind w:firstLine="284"/>
              <w:rPr>
                <w:rFonts w:ascii="Amasis MT Pro" w:hAnsi="Amasis MT Pro"/>
                <w:sz w:val="18"/>
                <w:szCs w:val="18"/>
                <w:highlight w:val="yellow"/>
              </w:rPr>
            </w:pPr>
            <w:r w:rsidRPr="003E2D67">
              <w:rPr>
                <w:rFonts w:ascii="Amasis MT Pro" w:hAnsi="Amasis MT Pro"/>
                <w:sz w:val="18"/>
                <w:szCs w:val="18"/>
                <w:highlight w:val="yellow"/>
              </w:rPr>
              <w:t xml:space="preserve">The representative best solution from the Pareto set is used in the comparative analysis. Fig. 12 and Fig. 13 shows that DR improves the practical cost-emission trade-off. This is notable because DR increases performance by lowering both objectives simultaneously (without DR, C = 9847.1 and E = 15661.7; with DR, C = 8074.6 and E = 12842.6). </w:t>
            </w:r>
          </w:p>
          <w:p w14:paraId="175081C4" w14:textId="77777777" w:rsidR="00CC25B6" w:rsidRPr="003E2D67" w:rsidRDefault="00CC25B6" w:rsidP="00CC25B6">
            <w:pPr>
              <w:pStyle w:val="icsmbodytext"/>
              <w:ind w:firstLine="284"/>
              <w:rPr>
                <w:rFonts w:ascii="Amasis MT Pro" w:hAnsi="Amasis MT Pro"/>
                <w:sz w:val="18"/>
                <w:szCs w:val="18"/>
                <w:highlight w:val="yellow"/>
              </w:rPr>
            </w:pPr>
          </w:p>
          <w:p w14:paraId="068EFC6C" w14:textId="69696111" w:rsidR="00CC25B6" w:rsidRPr="003E2D67" w:rsidRDefault="00CC25B6" w:rsidP="00CC25B6">
            <w:pPr>
              <w:pStyle w:val="icsmbodytext"/>
              <w:ind w:firstLine="284"/>
              <w:rPr>
                <w:rFonts w:ascii="Amasis MT Pro" w:hAnsi="Amasis MT Pro"/>
                <w:sz w:val="18"/>
                <w:szCs w:val="18"/>
                <w:highlight w:val="yellow"/>
              </w:rPr>
            </w:pPr>
            <w:r w:rsidRPr="003E2D67">
              <w:rPr>
                <w:rFonts w:ascii="Amasis MT Pro" w:hAnsi="Amasis MT Pro"/>
                <w:sz w:val="18"/>
                <w:szCs w:val="18"/>
                <w:highlight w:val="yellow"/>
              </w:rPr>
              <w:t xml:space="preserve">In measuring the success of the proposed NSGA-II solver, an analogous benchmarking of MOPSO </w:t>
            </w:r>
            <w:r>
              <w:rPr>
                <w:rFonts w:ascii="Amasis MT Pro" w:hAnsi="Amasis MT Pro"/>
                <w:sz w:val="18"/>
                <w:szCs w:val="18"/>
                <w:highlight w:val="yellow"/>
              </w:rPr>
              <w:t>has been</w:t>
            </w:r>
            <w:r w:rsidRPr="003E2D67">
              <w:rPr>
                <w:rFonts w:ascii="Amasis MT Pro" w:hAnsi="Amasis MT Pro"/>
                <w:sz w:val="18"/>
                <w:szCs w:val="18"/>
                <w:highlight w:val="yellow"/>
              </w:rPr>
              <w:t xml:space="preserve"> conducted using the same EMS formulation and computational parameters. In this case, both algorithms are assigned a population of 50 and are set to run for 200 generations. They are also subject to the same decision-variable scope and constraints. Fig. 14 shows the convergence behaviour, and Table.</w:t>
            </w:r>
            <w:r w:rsidR="00E04D5B">
              <w:rPr>
                <w:rFonts w:ascii="Amasis MT Pro" w:hAnsi="Amasis MT Pro"/>
                <w:sz w:val="18"/>
                <w:szCs w:val="18"/>
                <w:highlight w:val="yellow"/>
              </w:rPr>
              <w:t>2</w:t>
            </w:r>
            <w:r w:rsidRPr="003E2D67">
              <w:rPr>
                <w:rFonts w:ascii="Amasis MT Pro" w:hAnsi="Amasis MT Pro"/>
                <w:sz w:val="18"/>
                <w:szCs w:val="18"/>
                <w:highlight w:val="yellow"/>
              </w:rPr>
              <w:t xml:space="preserve"> summarizes the quantitative benchmarking data. </w:t>
            </w:r>
          </w:p>
          <w:p w14:paraId="367661E6" w14:textId="77777777" w:rsidR="00CC25B6" w:rsidRPr="003E2D67" w:rsidRDefault="00CC25B6" w:rsidP="00CC25B6">
            <w:pPr>
              <w:pStyle w:val="icsmbodytext"/>
              <w:ind w:firstLine="284"/>
              <w:rPr>
                <w:rFonts w:ascii="Amasis MT Pro" w:hAnsi="Amasis MT Pro"/>
                <w:sz w:val="18"/>
                <w:szCs w:val="18"/>
                <w:highlight w:val="yellow"/>
              </w:rPr>
            </w:pPr>
          </w:p>
          <w:p w14:paraId="769683E7" w14:textId="2AC443DD" w:rsidR="00CC25B6" w:rsidRPr="003E2D67" w:rsidRDefault="00CC25B6" w:rsidP="00CC25B6">
            <w:pPr>
              <w:pStyle w:val="icsmbodytext"/>
              <w:ind w:firstLine="284"/>
              <w:rPr>
                <w:rFonts w:ascii="Amasis MT Pro" w:hAnsi="Amasis MT Pro"/>
                <w:sz w:val="18"/>
                <w:szCs w:val="18"/>
                <w:highlight w:val="yellow"/>
                <w:lang w:val="en-US"/>
              </w:rPr>
            </w:pPr>
            <w:r w:rsidRPr="003E2D67">
              <w:rPr>
                <w:rFonts w:ascii="Amasis MT Pro" w:hAnsi="Amasis MT Pro"/>
                <w:sz w:val="18"/>
                <w:szCs w:val="18"/>
                <w:highlight w:val="yellow"/>
              </w:rPr>
              <w:t>Table.</w:t>
            </w:r>
            <w:r w:rsidR="00E04D5B">
              <w:rPr>
                <w:rFonts w:ascii="Amasis MT Pro" w:hAnsi="Amasis MT Pro"/>
                <w:sz w:val="18"/>
                <w:szCs w:val="18"/>
                <w:highlight w:val="yellow"/>
              </w:rPr>
              <w:t>2</w:t>
            </w:r>
            <w:r w:rsidRPr="003E2D67">
              <w:rPr>
                <w:rFonts w:ascii="Amasis MT Pro" w:hAnsi="Amasis MT Pro"/>
                <w:sz w:val="18"/>
                <w:szCs w:val="18"/>
                <w:highlight w:val="yellow"/>
              </w:rPr>
              <w:t xml:space="preserve"> illustrates that in the DR case, NSGA-II achieved a better compromise by decreasing both objectives than MOPSO (NSGA-II: C = 8074.6, E = 12842.6; MOPSO: C = 8345.5, E = 13127.4), while keeping the time spent the same. Without DR, the best solutions selected show comparable NSGA-II costs C = 9847.1; MOPSO: C = 10291.2. Yet, NSGA-II attains slightly lower emissions (15661.7 vs. 15806.3). The benchmarking confirms that NSGA-II is computationally efficient, providing reliable convergence and superior cost-emission trade-offs in the examined EMS problem.</w:t>
            </w:r>
          </w:p>
          <w:p w14:paraId="256646E3" w14:textId="30004EC3" w:rsidR="00B057EF" w:rsidRPr="00D238B2" w:rsidRDefault="00B057EF" w:rsidP="00E25C21">
            <w:pPr>
              <w:rPr>
                <w:b/>
                <w:bCs/>
                <w:color w:val="EE0000"/>
                <w:highlight w:val="cyan"/>
              </w:rPr>
            </w:pPr>
          </w:p>
          <w:p w14:paraId="16DA62EA" w14:textId="6720FF56" w:rsidR="00D24310" w:rsidRPr="00D238B2" w:rsidRDefault="00D24310" w:rsidP="00E25C21">
            <w:pPr>
              <w:rPr>
                <w:b/>
                <w:bCs/>
                <w:color w:val="EE0000"/>
                <w:highlight w:val="cyan"/>
              </w:rPr>
            </w:pPr>
            <w:r w:rsidRPr="00D238B2">
              <w:rPr>
                <w:noProof/>
                <w:highlight w:val="cyan"/>
              </w:rPr>
              <w:drawing>
                <wp:inline distT="0" distB="0" distL="0" distR="0" wp14:anchorId="5B3D59E9" wp14:editId="43219F23">
                  <wp:extent cx="3474720" cy="1968298"/>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3474720" cy="1968298"/>
                          </a:xfrm>
                          <a:prstGeom prst="rect">
                            <a:avLst/>
                          </a:prstGeom>
                        </pic:spPr>
                      </pic:pic>
                    </a:graphicData>
                  </a:graphic>
                </wp:inline>
              </w:drawing>
            </w:r>
          </w:p>
          <w:p w14:paraId="77F0864B" w14:textId="34C32752" w:rsidR="00D24310" w:rsidRPr="00D238B2" w:rsidRDefault="00D24310" w:rsidP="00E25C21">
            <w:pPr>
              <w:rPr>
                <w:b/>
                <w:bCs/>
                <w:color w:val="EE0000"/>
                <w:highlight w:val="cyan"/>
              </w:rPr>
            </w:pPr>
            <w:r w:rsidRPr="00D238B2">
              <w:rPr>
                <w:b/>
                <w:bCs/>
                <w:color w:val="EE0000"/>
                <w:highlight w:val="cyan"/>
              </w:rPr>
              <w:t>Figure 14</w:t>
            </w:r>
          </w:p>
          <w:p w14:paraId="039EB794" w14:textId="77777777" w:rsidR="00D24310" w:rsidRPr="00D238B2" w:rsidRDefault="00D24310" w:rsidP="00E25C21">
            <w:pPr>
              <w:rPr>
                <w:b/>
                <w:bCs/>
                <w:color w:val="EE0000"/>
                <w:highlight w:val="cyan"/>
              </w:rPr>
            </w:pPr>
          </w:p>
          <w:p w14:paraId="1E345A51" w14:textId="6E951FF7" w:rsidR="00B057EF" w:rsidRPr="00C40646" w:rsidRDefault="000F7119" w:rsidP="00B057EF">
            <w:pPr>
              <w:rPr>
                <w:rFonts w:ascii="Amasis MT Pro" w:hAnsi="Amasis MT Pro"/>
                <w:b/>
                <w:bCs/>
                <w:sz w:val="18"/>
                <w:szCs w:val="18"/>
                <w:highlight w:val="yellow"/>
              </w:rPr>
            </w:pPr>
            <w:r w:rsidRPr="00C40646">
              <w:rPr>
                <w:rFonts w:ascii="Amasis MT Pro" w:hAnsi="Amasis MT Pro"/>
                <w:b/>
                <w:bCs/>
                <w:sz w:val="18"/>
                <w:szCs w:val="18"/>
                <w:highlight w:val="yellow"/>
              </w:rPr>
              <w:t>Table</w:t>
            </w:r>
            <w:r w:rsidR="00D24310" w:rsidRPr="00C40646">
              <w:rPr>
                <w:rFonts w:ascii="Amasis MT Pro" w:hAnsi="Amasis MT Pro"/>
                <w:b/>
                <w:bCs/>
                <w:sz w:val="18"/>
                <w:szCs w:val="18"/>
                <w:highlight w:val="yellow"/>
              </w:rPr>
              <w:t xml:space="preserve"> </w:t>
            </w:r>
            <w:r w:rsidR="0093283B">
              <w:rPr>
                <w:rFonts w:ascii="Amasis MT Pro" w:hAnsi="Amasis MT Pro"/>
                <w:b/>
                <w:bCs/>
                <w:sz w:val="18"/>
                <w:szCs w:val="18"/>
                <w:highlight w:val="yellow"/>
              </w:rPr>
              <w:t>1</w:t>
            </w:r>
            <w:r w:rsidRPr="00C40646">
              <w:rPr>
                <w:rFonts w:ascii="Amasis MT Pro" w:hAnsi="Amasis MT Pro"/>
                <w:b/>
                <w:bCs/>
                <w:sz w:val="18"/>
                <w:szCs w:val="18"/>
                <w:highlight w:val="yellow"/>
              </w:rPr>
              <w:t xml:space="preserve"> </w:t>
            </w:r>
          </w:p>
          <w:tbl>
            <w:tblPr>
              <w:tblStyle w:val="TableGrid"/>
              <w:tblW w:w="0" w:type="auto"/>
              <w:tblLook w:val="04A0" w:firstRow="1" w:lastRow="0" w:firstColumn="1" w:lastColumn="0" w:noHBand="0" w:noVBand="1"/>
            </w:tblPr>
            <w:tblGrid>
              <w:gridCol w:w="983"/>
              <w:gridCol w:w="833"/>
              <w:gridCol w:w="2199"/>
              <w:gridCol w:w="3001"/>
              <w:gridCol w:w="1098"/>
            </w:tblGrid>
            <w:tr w:rsidR="00024015" w:rsidRPr="00C40646" w14:paraId="6E754192" w14:textId="77777777" w:rsidTr="002A5529">
              <w:tc>
                <w:tcPr>
                  <w:tcW w:w="0" w:type="auto"/>
                  <w:vAlign w:val="center"/>
                </w:tcPr>
                <w:p w14:paraId="6003C175" w14:textId="77777777" w:rsidR="00024015" w:rsidRPr="00C40646" w:rsidRDefault="00024015" w:rsidP="00024015">
                  <w:pPr>
                    <w:rPr>
                      <w:rFonts w:ascii="Amasis MT Pro" w:hAnsi="Amasis MT Pro"/>
                      <w:sz w:val="18"/>
                      <w:szCs w:val="18"/>
                      <w:highlight w:val="yellow"/>
                    </w:rPr>
                  </w:pPr>
                  <w:bookmarkStart w:id="0" w:name="_Hlk221190015"/>
                  <w:r w:rsidRPr="00C40646">
                    <w:rPr>
                      <w:rFonts w:ascii="Amasis MT Pro" w:hAnsi="Amasis MT Pro"/>
                      <w:sz w:val="18"/>
                      <w:szCs w:val="18"/>
                      <w:highlight w:val="yellow"/>
                    </w:rPr>
                    <w:t>Algorithm</w:t>
                  </w:r>
                </w:p>
              </w:tc>
              <w:tc>
                <w:tcPr>
                  <w:tcW w:w="0" w:type="auto"/>
                </w:tcPr>
                <w:p w14:paraId="0B21841B"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DR</w:t>
                  </w:r>
                </w:p>
              </w:tc>
              <w:tc>
                <w:tcPr>
                  <w:tcW w:w="0" w:type="auto"/>
                  <w:vAlign w:val="center"/>
                </w:tcPr>
                <w:p w14:paraId="1FD5AC78"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Best-compromise Cost ($)</w:t>
                  </w:r>
                </w:p>
              </w:tc>
              <w:tc>
                <w:tcPr>
                  <w:tcW w:w="0" w:type="auto"/>
                  <w:vAlign w:val="center"/>
                </w:tcPr>
                <w:p w14:paraId="634634F5"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Best-compromise Emission (kg CO₂)</w:t>
                  </w:r>
                </w:p>
              </w:tc>
              <w:tc>
                <w:tcPr>
                  <w:tcW w:w="0" w:type="auto"/>
                  <w:vAlign w:val="center"/>
                </w:tcPr>
                <w:p w14:paraId="176A9225"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Runtime (s)</w:t>
                  </w:r>
                </w:p>
              </w:tc>
            </w:tr>
            <w:tr w:rsidR="00024015" w:rsidRPr="00C40646" w14:paraId="253B3BB6" w14:textId="77777777" w:rsidTr="002A5529">
              <w:tc>
                <w:tcPr>
                  <w:tcW w:w="0" w:type="auto"/>
                  <w:vMerge w:val="restart"/>
                  <w:vAlign w:val="center"/>
                </w:tcPr>
                <w:p w14:paraId="23617DB8"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NSGA-II</w:t>
                  </w:r>
                </w:p>
              </w:tc>
              <w:tc>
                <w:tcPr>
                  <w:tcW w:w="0" w:type="auto"/>
                </w:tcPr>
                <w:p w14:paraId="6E20C319"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Without</w:t>
                  </w:r>
                </w:p>
              </w:tc>
              <w:tc>
                <w:tcPr>
                  <w:tcW w:w="0" w:type="auto"/>
                  <w:vAlign w:val="center"/>
                </w:tcPr>
                <w:p w14:paraId="79E98C51"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9847.1</w:t>
                  </w:r>
                </w:p>
              </w:tc>
              <w:tc>
                <w:tcPr>
                  <w:tcW w:w="0" w:type="auto"/>
                  <w:vAlign w:val="center"/>
                </w:tcPr>
                <w:p w14:paraId="0FB8F18B"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15661.7</w:t>
                  </w:r>
                </w:p>
              </w:tc>
              <w:tc>
                <w:tcPr>
                  <w:tcW w:w="0" w:type="auto"/>
                  <w:vAlign w:val="center"/>
                </w:tcPr>
                <w:p w14:paraId="45172D8C"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342</w:t>
                  </w:r>
                </w:p>
              </w:tc>
            </w:tr>
            <w:tr w:rsidR="00024015" w:rsidRPr="00C40646" w14:paraId="2DE34B9C" w14:textId="77777777" w:rsidTr="002A5529">
              <w:tc>
                <w:tcPr>
                  <w:tcW w:w="0" w:type="auto"/>
                  <w:vMerge/>
                  <w:vAlign w:val="center"/>
                </w:tcPr>
                <w:p w14:paraId="6C6E8583" w14:textId="77777777" w:rsidR="00024015" w:rsidRPr="00C40646" w:rsidRDefault="00024015" w:rsidP="00024015">
                  <w:pPr>
                    <w:rPr>
                      <w:rFonts w:ascii="Amasis MT Pro" w:hAnsi="Amasis MT Pro"/>
                      <w:sz w:val="18"/>
                      <w:szCs w:val="18"/>
                      <w:highlight w:val="yellow"/>
                    </w:rPr>
                  </w:pPr>
                </w:p>
              </w:tc>
              <w:tc>
                <w:tcPr>
                  <w:tcW w:w="0" w:type="auto"/>
                </w:tcPr>
                <w:p w14:paraId="6704EEF8"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With</w:t>
                  </w:r>
                </w:p>
              </w:tc>
              <w:tc>
                <w:tcPr>
                  <w:tcW w:w="0" w:type="auto"/>
                  <w:vAlign w:val="center"/>
                </w:tcPr>
                <w:p w14:paraId="43508E04"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8074.6</w:t>
                  </w:r>
                </w:p>
              </w:tc>
              <w:tc>
                <w:tcPr>
                  <w:tcW w:w="0" w:type="auto"/>
                  <w:vAlign w:val="center"/>
                </w:tcPr>
                <w:p w14:paraId="0464F4D7"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12842.6</w:t>
                  </w:r>
                </w:p>
              </w:tc>
              <w:tc>
                <w:tcPr>
                  <w:tcW w:w="0" w:type="auto"/>
                  <w:vAlign w:val="center"/>
                </w:tcPr>
                <w:p w14:paraId="3011973A"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418</w:t>
                  </w:r>
                </w:p>
              </w:tc>
            </w:tr>
            <w:tr w:rsidR="00024015" w:rsidRPr="00C40646" w14:paraId="466ED5C9" w14:textId="77777777" w:rsidTr="002A5529">
              <w:tc>
                <w:tcPr>
                  <w:tcW w:w="0" w:type="auto"/>
                  <w:vMerge w:val="restart"/>
                  <w:vAlign w:val="center"/>
                </w:tcPr>
                <w:p w14:paraId="03D87AB7"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MOPSO</w:t>
                  </w:r>
                </w:p>
              </w:tc>
              <w:tc>
                <w:tcPr>
                  <w:tcW w:w="0" w:type="auto"/>
                </w:tcPr>
                <w:p w14:paraId="22E86632"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Without</w:t>
                  </w:r>
                </w:p>
              </w:tc>
              <w:tc>
                <w:tcPr>
                  <w:tcW w:w="0" w:type="auto"/>
                  <w:vAlign w:val="center"/>
                </w:tcPr>
                <w:p w14:paraId="48A549FB"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10291.2</w:t>
                  </w:r>
                </w:p>
              </w:tc>
              <w:tc>
                <w:tcPr>
                  <w:tcW w:w="0" w:type="auto"/>
                  <w:vAlign w:val="center"/>
                </w:tcPr>
                <w:p w14:paraId="0813F668"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15806.3</w:t>
                  </w:r>
                </w:p>
              </w:tc>
              <w:tc>
                <w:tcPr>
                  <w:tcW w:w="0" w:type="auto"/>
                  <w:vAlign w:val="center"/>
                </w:tcPr>
                <w:p w14:paraId="00E0AD8E"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354</w:t>
                  </w:r>
                </w:p>
              </w:tc>
            </w:tr>
            <w:tr w:rsidR="00024015" w:rsidRPr="00C40646" w14:paraId="0A40B8D2" w14:textId="77777777" w:rsidTr="002A5529">
              <w:tc>
                <w:tcPr>
                  <w:tcW w:w="0" w:type="auto"/>
                  <w:vMerge/>
                  <w:vAlign w:val="center"/>
                </w:tcPr>
                <w:p w14:paraId="250C5883" w14:textId="77777777" w:rsidR="00024015" w:rsidRPr="00C40646" w:rsidRDefault="00024015" w:rsidP="00024015">
                  <w:pPr>
                    <w:rPr>
                      <w:rFonts w:ascii="Amasis MT Pro" w:hAnsi="Amasis MT Pro"/>
                      <w:sz w:val="18"/>
                      <w:szCs w:val="18"/>
                      <w:highlight w:val="yellow"/>
                    </w:rPr>
                  </w:pPr>
                </w:p>
              </w:tc>
              <w:tc>
                <w:tcPr>
                  <w:tcW w:w="0" w:type="auto"/>
                </w:tcPr>
                <w:p w14:paraId="65AC6C62"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With</w:t>
                  </w:r>
                </w:p>
              </w:tc>
              <w:tc>
                <w:tcPr>
                  <w:tcW w:w="0" w:type="auto"/>
                  <w:vAlign w:val="center"/>
                </w:tcPr>
                <w:p w14:paraId="22C6E0CB"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8345.5</w:t>
                  </w:r>
                </w:p>
              </w:tc>
              <w:tc>
                <w:tcPr>
                  <w:tcW w:w="0" w:type="auto"/>
                  <w:vAlign w:val="center"/>
                </w:tcPr>
                <w:p w14:paraId="42AA8285"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13127.4</w:t>
                  </w:r>
                </w:p>
              </w:tc>
              <w:tc>
                <w:tcPr>
                  <w:tcW w:w="0" w:type="auto"/>
                  <w:vAlign w:val="center"/>
                </w:tcPr>
                <w:p w14:paraId="225DF9B1" w14:textId="77777777" w:rsidR="00024015" w:rsidRPr="00C40646" w:rsidRDefault="00024015" w:rsidP="00024015">
                  <w:pPr>
                    <w:rPr>
                      <w:rFonts w:ascii="Amasis MT Pro" w:hAnsi="Amasis MT Pro"/>
                      <w:sz w:val="18"/>
                      <w:szCs w:val="18"/>
                      <w:highlight w:val="yellow"/>
                    </w:rPr>
                  </w:pPr>
                  <w:r w:rsidRPr="00C40646">
                    <w:rPr>
                      <w:rFonts w:ascii="Amasis MT Pro" w:hAnsi="Amasis MT Pro"/>
                      <w:sz w:val="18"/>
                      <w:szCs w:val="18"/>
                      <w:highlight w:val="yellow"/>
                    </w:rPr>
                    <w:t>451</w:t>
                  </w:r>
                </w:p>
              </w:tc>
            </w:tr>
            <w:bookmarkEnd w:id="0"/>
          </w:tbl>
          <w:p w14:paraId="107F5238" w14:textId="0136E2E6" w:rsidR="00024015" w:rsidRPr="00D238B2" w:rsidRDefault="00024015" w:rsidP="00B057EF">
            <w:pPr>
              <w:rPr>
                <w:b/>
                <w:bCs/>
                <w:highlight w:val="cyan"/>
              </w:rPr>
            </w:pPr>
          </w:p>
        </w:tc>
      </w:tr>
    </w:tbl>
    <w:p w14:paraId="1BA4C041" w14:textId="77777777" w:rsidR="00783539" w:rsidRDefault="00783539" w:rsidP="00E57460"/>
    <w:tbl>
      <w:tblPr>
        <w:tblStyle w:val="TableGrid"/>
        <w:tblW w:w="0" w:type="auto"/>
        <w:tblLook w:val="04A0" w:firstRow="1" w:lastRow="0" w:firstColumn="1" w:lastColumn="0" w:noHBand="0" w:noVBand="1"/>
      </w:tblPr>
      <w:tblGrid>
        <w:gridCol w:w="9350"/>
      </w:tblGrid>
      <w:tr w:rsidR="00783539" w14:paraId="38E23CA2" w14:textId="77777777" w:rsidTr="00E25C21">
        <w:tc>
          <w:tcPr>
            <w:tcW w:w="9350" w:type="dxa"/>
            <w:shd w:val="clear" w:color="auto" w:fill="FFF2CC" w:themeFill="accent4" w:themeFillTint="33"/>
          </w:tcPr>
          <w:p w14:paraId="62876E2B" w14:textId="77777777" w:rsidR="00783539" w:rsidRPr="006F7EA2" w:rsidRDefault="00783539" w:rsidP="00E25C21">
            <w:pPr>
              <w:rPr>
                <w:b/>
                <w:bCs/>
              </w:rPr>
            </w:pPr>
            <w:r w:rsidRPr="00585094">
              <w:rPr>
                <w:b/>
                <w:bCs/>
              </w:rPr>
              <w:lastRenderedPageBreak/>
              <w:t>Comment:</w:t>
            </w:r>
          </w:p>
          <w:p w14:paraId="009A41FD" w14:textId="658D9B4F" w:rsidR="00783539" w:rsidRDefault="00783539" w:rsidP="00783539">
            <w:pPr>
              <w:jc w:val="both"/>
            </w:pPr>
            <w:r w:rsidRPr="00E57460">
              <w:t>• Impact of HT: The innovation section highlights the role of the Hydrogen Turbine as dispatchable generation. However, the results (Fig. 7 and 9) do not clearly isolate the specific benefit of the HT compared to BESS alone. A sensitivity analysis on HT capacity would strengthen the paper.</w:t>
            </w:r>
          </w:p>
        </w:tc>
      </w:tr>
      <w:tr w:rsidR="00783539" w:rsidRPr="006F7EA2" w14:paraId="5877E9D4" w14:textId="77777777" w:rsidTr="00E25C21">
        <w:tc>
          <w:tcPr>
            <w:tcW w:w="9350" w:type="dxa"/>
            <w:shd w:val="clear" w:color="auto" w:fill="F9CEFA"/>
          </w:tcPr>
          <w:p w14:paraId="5A3CF5C2" w14:textId="77777777" w:rsidR="00783539" w:rsidRPr="006F7EA2" w:rsidRDefault="00783539" w:rsidP="00E25C21">
            <w:pPr>
              <w:rPr>
                <w:b/>
                <w:bCs/>
              </w:rPr>
            </w:pPr>
            <w:r w:rsidRPr="006F7EA2">
              <w:rPr>
                <w:b/>
                <w:bCs/>
              </w:rPr>
              <w:t>Response:</w:t>
            </w:r>
          </w:p>
          <w:p w14:paraId="6FACEFC9" w14:textId="19AF3929" w:rsidR="00783539" w:rsidRPr="00490560" w:rsidRDefault="00490560" w:rsidP="00490560">
            <w:pPr>
              <w:spacing w:line="360" w:lineRule="auto"/>
              <w:jc w:val="both"/>
            </w:pPr>
            <w:r w:rsidRPr="00490560">
              <w:t>We sincerely appreciate this constructive comment. To ensure that the contribution of HT (hydro turbine) is explicitly supported by quantitative evidence beyond the flexibility provided by BESS/EVs, we have added a sensitivity analysis on hydro turbine availability. In Table 2, just before conclusion. The reports the system performance under 30%, 50%, and 100% hydro turbine availability</w:t>
            </w:r>
          </w:p>
        </w:tc>
      </w:tr>
      <w:tr w:rsidR="00783539" w:rsidRPr="006F7EA2" w14:paraId="70915CBE" w14:textId="77777777" w:rsidTr="00E25C21">
        <w:tc>
          <w:tcPr>
            <w:tcW w:w="9350" w:type="dxa"/>
            <w:shd w:val="clear" w:color="auto" w:fill="E2EFD9" w:themeFill="accent6" w:themeFillTint="33"/>
          </w:tcPr>
          <w:p w14:paraId="44B3D70C" w14:textId="77777777" w:rsidR="00D238B2" w:rsidRDefault="00783539" w:rsidP="00D238B2">
            <w:pPr>
              <w:rPr>
                <w:b/>
                <w:bCs/>
                <w:color w:val="EE0000"/>
              </w:rPr>
            </w:pPr>
            <w:r w:rsidRPr="00783539">
              <w:rPr>
                <w:b/>
                <w:bCs/>
                <w:color w:val="EE0000"/>
              </w:rPr>
              <w:t>Action:</w:t>
            </w:r>
          </w:p>
          <w:p w14:paraId="6D2B6637" w14:textId="77777777" w:rsidR="007C01A1" w:rsidRPr="00B35B31" w:rsidRDefault="007C01A1" w:rsidP="007C01A1">
            <w:pPr>
              <w:pStyle w:val="icsmbodytext"/>
              <w:ind w:firstLine="284"/>
              <w:rPr>
                <w:rFonts w:ascii="Amasis MT Pro" w:hAnsi="Amasis MT Pro"/>
                <w:sz w:val="18"/>
                <w:szCs w:val="18"/>
                <w:highlight w:val="cyan"/>
              </w:rPr>
            </w:pPr>
            <w:r w:rsidRPr="00B35B31">
              <w:rPr>
                <w:rFonts w:ascii="Amasis MT Pro" w:hAnsi="Amasis MT Pro"/>
                <w:sz w:val="18"/>
                <w:szCs w:val="18"/>
                <w:highlight w:val="cyan"/>
              </w:rPr>
              <w:t xml:space="preserve">As demonstrated in Table </w:t>
            </w:r>
            <w:r w:rsidRPr="00B04F1B">
              <w:rPr>
                <w:rFonts w:ascii="Amasis MT Pro" w:hAnsi="Amasis MT Pro"/>
                <w:sz w:val="18"/>
                <w:szCs w:val="18"/>
                <w:highlight w:val="cyan"/>
              </w:rPr>
              <w:t>2</w:t>
            </w:r>
            <w:r w:rsidRPr="00B35B31">
              <w:rPr>
                <w:rFonts w:ascii="Amasis MT Pro" w:hAnsi="Amasis MT Pro"/>
                <w:sz w:val="18"/>
                <w:szCs w:val="18"/>
                <w:highlight w:val="cyan"/>
              </w:rPr>
              <w:t>, a sensitivity analysis on</w:t>
            </w:r>
            <w:r>
              <w:rPr>
                <w:rFonts w:ascii="Amasis MT Pro" w:hAnsi="Amasis MT Pro"/>
                <w:sz w:val="18"/>
                <w:szCs w:val="18"/>
                <w:highlight w:val="cyan"/>
              </w:rPr>
              <w:t xml:space="preserve"> </w:t>
            </w:r>
            <w:r w:rsidRPr="00B35B31">
              <w:rPr>
                <w:rFonts w:ascii="Amasis MT Pro" w:hAnsi="Amasis MT Pro"/>
                <w:sz w:val="18"/>
                <w:szCs w:val="18"/>
                <w:highlight w:val="cyan"/>
              </w:rPr>
              <w:t>hydro turbine availability (30%, 50%, and 100%) shows that system performance improves monotonically as hydro contribution increases. The total cost reduces from $10,384.26 (30%) to $8,074.60 (100%), emissions from 16,775.12 to 12,842.58 kg,</w:t>
            </w:r>
            <w:r w:rsidRPr="00B04F1B">
              <w:rPr>
                <w:rFonts w:ascii="Amasis MT Pro" w:hAnsi="Amasis MT Pro"/>
                <w:sz w:val="18"/>
                <w:szCs w:val="18"/>
                <w:highlight w:val="cyan"/>
              </w:rPr>
              <w:t xml:space="preserve"> and</w:t>
            </w:r>
            <w:r w:rsidRPr="00B35B31">
              <w:rPr>
                <w:rFonts w:ascii="Amasis MT Pro" w:hAnsi="Amasis MT Pro"/>
                <w:sz w:val="18"/>
                <w:szCs w:val="18"/>
                <w:highlight w:val="cyan"/>
              </w:rPr>
              <w:t xml:space="preserve"> grid import from 14,151.90 to 10,899.29</w:t>
            </w:r>
            <w:r w:rsidRPr="00B04F1B">
              <w:rPr>
                <w:rFonts w:ascii="Amasis MT Pro" w:hAnsi="Amasis MT Pro"/>
                <w:sz w:val="18"/>
                <w:szCs w:val="18"/>
                <w:highlight w:val="cyan"/>
              </w:rPr>
              <w:t xml:space="preserve">. </w:t>
            </w:r>
            <w:r w:rsidRPr="00B35B31">
              <w:rPr>
                <w:rFonts w:ascii="Amasis MT Pro" w:hAnsi="Amasis MT Pro"/>
                <w:sz w:val="18"/>
                <w:szCs w:val="18"/>
                <w:highlight w:val="cyan"/>
              </w:rPr>
              <w:t>This sensitivity analysis indicates increasing hydro turbine availability delivers more controlled supply, decreases dependence on grid purchases, and improves overall cost-emission performance.</w:t>
            </w:r>
          </w:p>
          <w:p w14:paraId="34FD4C2F" w14:textId="77777777" w:rsidR="007C01A1" w:rsidRPr="003E2D67" w:rsidRDefault="007C01A1" w:rsidP="007C01A1">
            <w:pPr>
              <w:pStyle w:val="icsmbodytext"/>
              <w:ind w:firstLine="284"/>
              <w:rPr>
                <w:rFonts w:ascii="Amasis MT Pro" w:hAnsi="Amasis MT Pro"/>
                <w:sz w:val="18"/>
                <w:szCs w:val="18"/>
                <w:highlight w:val="yellow"/>
                <w:lang w:val="en-US"/>
              </w:rPr>
            </w:pPr>
          </w:p>
          <w:p w14:paraId="71CBE2F5" w14:textId="77777777" w:rsidR="007C01A1" w:rsidRPr="00B04F1B" w:rsidRDefault="007C01A1" w:rsidP="007C01A1">
            <w:pPr>
              <w:pStyle w:val="icsmbodytext"/>
              <w:rPr>
                <w:rFonts w:ascii="Amasis MT Pro" w:hAnsi="Amasis MT Pro"/>
                <w:sz w:val="18"/>
                <w:szCs w:val="18"/>
                <w:highlight w:val="cyan"/>
              </w:rPr>
            </w:pPr>
            <w:r w:rsidRPr="00B04F1B">
              <w:rPr>
                <w:rFonts w:ascii="Amasis MT Pro" w:hAnsi="Amasis MT Pro"/>
                <w:sz w:val="18"/>
                <w:szCs w:val="18"/>
                <w:highlight w:val="cyan"/>
              </w:rPr>
              <w:t>Table 2. Sensitivity of system cost, emissions, and grid exchange to hydro turbine availability</w:t>
            </w:r>
            <w:r>
              <w:rPr>
                <w:rFonts w:ascii="Amasis MT Pro" w:hAnsi="Amasis MT Pro"/>
                <w:sz w:val="18"/>
                <w:szCs w:val="18"/>
                <w:highlight w:val="cyan"/>
              </w:rPr>
              <w:t>.</w:t>
            </w:r>
          </w:p>
          <w:tbl>
            <w:tblPr>
              <w:tblStyle w:val="TableGrid"/>
              <w:tblW w:w="5000" w:type="pct"/>
              <w:jc w:val="center"/>
              <w:tblLook w:val="04A0" w:firstRow="1" w:lastRow="0" w:firstColumn="1" w:lastColumn="0" w:noHBand="0" w:noVBand="1"/>
            </w:tblPr>
            <w:tblGrid>
              <w:gridCol w:w="2171"/>
              <w:gridCol w:w="1557"/>
              <w:gridCol w:w="2057"/>
              <w:gridCol w:w="3339"/>
            </w:tblGrid>
            <w:tr w:rsidR="007C01A1" w:rsidRPr="00B04F1B" w14:paraId="28C9C1BD" w14:textId="77777777" w:rsidTr="007B26E8">
              <w:trPr>
                <w:jc w:val="center"/>
              </w:trPr>
              <w:tc>
                <w:tcPr>
                  <w:tcW w:w="1190" w:type="pct"/>
                  <w:vAlign w:val="center"/>
                </w:tcPr>
                <w:p w14:paraId="35CEB350"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Hydro turbine</w:t>
                  </w:r>
                </w:p>
              </w:tc>
              <w:tc>
                <w:tcPr>
                  <w:tcW w:w="853" w:type="pct"/>
                  <w:vAlign w:val="center"/>
                </w:tcPr>
                <w:p w14:paraId="55C1C387" w14:textId="77777777" w:rsidR="007C01A1" w:rsidRPr="00B04F1B" w:rsidRDefault="007C01A1" w:rsidP="007C01A1">
                  <w:pPr>
                    <w:jc w:val="center"/>
                    <w:rPr>
                      <w:rFonts w:ascii="Amasis MT Pro" w:hAnsi="Amasis MT Pro"/>
                      <w:sz w:val="16"/>
                      <w:szCs w:val="16"/>
                      <w:highlight w:val="cyan"/>
                    </w:rPr>
                  </w:pPr>
                  <w:r w:rsidRPr="00B04F1B">
                    <w:rPr>
                      <w:rFonts w:ascii="Amasis MT Pro" w:hAnsi="Amasis MT Pro" w:cs="Calibri"/>
                      <w:sz w:val="16"/>
                      <w:szCs w:val="16"/>
                      <w:highlight w:val="cyan"/>
                    </w:rPr>
                    <w:t>Cost (</w:t>
                  </w:r>
                  <w:r w:rsidRPr="006D7881">
                    <w:rPr>
                      <w:rFonts w:ascii="Amasis MT Pro" w:hAnsi="Amasis MT Pro" w:cs="Calibri"/>
                      <w:sz w:val="16"/>
                      <w:szCs w:val="16"/>
                      <w:highlight w:val="cyan"/>
                    </w:rPr>
                    <w:t>$)</w:t>
                  </w:r>
                </w:p>
              </w:tc>
              <w:tc>
                <w:tcPr>
                  <w:tcW w:w="1127" w:type="pct"/>
                  <w:vAlign w:val="center"/>
                </w:tcPr>
                <w:p w14:paraId="0576E61E"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Emission (kg)</w:t>
                  </w:r>
                </w:p>
              </w:tc>
              <w:tc>
                <w:tcPr>
                  <w:tcW w:w="1830" w:type="pct"/>
                  <w:vAlign w:val="center"/>
                </w:tcPr>
                <w:p w14:paraId="3D66B8BB"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Import From Grid (kW)</w:t>
                  </w:r>
                </w:p>
              </w:tc>
            </w:tr>
            <w:tr w:rsidR="007C01A1" w:rsidRPr="00B04F1B" w14:paraId="0EC541DF" w14:textId="77777777" w:rsidTr="007B26E8">
              <w:trPr>
                <w:jc w:val="center"/>
              </w:trPr>
              <w:tc>
                <w:tcPr>
                  <w:tcW w:w="1190" w:type="pct"/>
                  <w:vAlign w:val="center"/>
                </w:tcPr>
                <w:p w14:paraId="5F1A4766"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30%</w:t>
                  </w:r>
                </w:p>
              </w:tc>
              <w:tc>
                <w:tcPr>
                  <w:tcW w:w="853" w:type="pct"/>
                  <w:vAlign w:val="center"/>
                </w:tcPr>
                <w:p w14:paraId="0E3208CC"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10384.26</w:t>
                  </w:r>
                </w:p>
              </w:tc>
              <w:tc>
                <w:tcPr>
                  <w:tcW w:w="1127" w:type="pct"/>
                  <w:vAlign w:val="center"/>
                </w:tcPr>
                <w:p w14:paraId="30882D70"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16775.12</w:t>
                  </w:r>
                </w:p>
              </w:tc>
              <w:tc>
                <w:tcPr>
                  <w:tcW w:w="1830" w:type="pct"/>
                  <w:vAlign w:val="center"/>
                </w:tcPr>
                <w:p w14:paraId="7343E56B"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14151.90</w:t>
                  </w:r>
                </w:p>
              </w:tc>
            </w:tr>
            <w:tr w:rsidR="007C01A1" w:rsidRPr="00B04F1B" w14:paraId="1CAEB23C" w14:textId="77777777" w:rsidTr="007B26E8">
              <w:trPr>
                <w:trHeight w:val="60"/>
                <w:jc w:val="center"/>
              </w:trPr>
              <w:tc>
                <w:tcPr>
                  <w:tcW w:w="1190" w:type="pct"/>
                  <w:vAlign w:val="center"/>
                </w:tcPr>
                <w:p w14:paraId="407CAF33"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50%</w:t>
                  </w:r>
                </w:p>
              </w:tc>
              <w:tc>
                <w:tcPr>
                  <w:tcW w:w="853" w:type="pct"/>
                  <w:vAlign w:val="center"/>
                </w:tcPr>
                <w:p w14:paraId="0A5A114C"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9852.76</w:t>
                  </w:r>
                </w:p>
              </w:tc>
              <w:tc>
                <w:tcPr>
                  <w:tcW w:w="1127" w:type="pct"/>
                  <w:vAlign w:val="center"/>
                </w:tcPr>
                <w:p w14:paraId="3C5634F3"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15411.67</w:t>
                  </w:r>
                </w:p>
              </w:tc>
              <w:tc>
                <w:tcPr>
                  <w:tcW w:w="1830" w:type="pct"/>
                  <w:vAlign w:val="center"/>
                </w:tcPr>
                <w:p w14:paraId="523A2BC9"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13164.50</w:t>
                  </w:r>
                </w:p>
              </w:tc>
            </w:tr>
            <w:tr w:rsidR="007C01A1" w:rsidRPr="00B04F1B" w14:paraId="30F16482" w14:textId="77777777" w:rsidTr="007B26E8">
              <w:trPr>
                <w:jc w:val="center"/>
              </w:trPr>
              <w:tc>
                <w:tcPr>
                  <w:tcW w:w="1190" w:type="pct"/>
                  <w:vAlign w:val="center"/>
                </w:tcPr>
                <w:p w14:paraId="74F87711"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100%</w:t>
                  </w:r>
                </w:p>
              </w:tc>
              <w:tc>
                <w:tcPr>
                  <w:tcW w:w="853" w:type="pct"/>
                  <w:vAlign w:val="center"/>
                </w:tcPr>
                <w:p w14:paraId="7AFCCE1E"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8074.60</w:t>
                  </w:r>
                </w:p>
              </w:tc>
              <w:tc>
                <w:tcPr>
                  <w:tcW w:w="1127" w:type="pct"/>
                  <w:vAlign w:val="center"/>
                </w:tcPr>
                <w:p w14:paraId="4F7C5A58"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12842.58</w:t>
                  </w:r>
                </w:p>
              </w:tc>
              <w:tc>
                <w:tcPr>
                  <w:tcW w:w="1830" w:type="pct"/>
                  <w:vAlign w:val="center"/>
                </w:tcPr>
                <w:p w14:paraId="70A2CF23" w14:textId="77777777" w:rsidR="007C01A1" w:rsidRPr="00B04F1B" w:rsidRDefault="007C01A1" w:rsidP="007C01A1">
                  <w:pPr>
                    <w:jc w:val="center"/>
                    <w:rPr>
                      <w:rFonts w:ascii="Amasis MT Pro" w:hAnsi="Amasis MT Pro"/>
                      <w:sz w:val="16"/>
                      <w:szCs w:val="16"/>
                      <w:highlight w:val="cyan"/>
                    </w:rPr>
                  </w:pPr>
                  <w:r w:rsidRPr="006D7881">
                    <w:rPr>
                      <w:rFonts w:ascii="Amasis MT Pro" w:hAnsi="Amasis MT Pro" w:cs="Calibri"/>
                      <w:sz w:val="16"/>
                      <w:szCs w:val="16"/>
                      <w:highlight w:val="cyan"/>
                    </w:rPr>
                    <w:t>10899.29</w:t>
                  </w:r>
                </w:p>
              </w:tc>
            </w:tr>
          </w:tbl>
          <w:p w14:paraId="0B5254F1" w14:textId="0D9535F6" w:rsidR="00783539" w:rsidRPr="006F7EA2" w:rsidRDefault="00783539" w:rsidP="00D238B2">
            <w:pPr>
              <w:bidi/>
              <w:rPr>
                <w:b/>
                <w:bCs/>
                <w:rtl/>
                <w:lang w:bidi="fa-IR"/>
              </w:rPr>
            </w:pPr>
          </w:p>
        </w:tc>
      </w:tr>
    </w:tbl>
    <w:p w14:paraId="0224DA8D" w14:textId="77777777" w:rsidR="00E57460" w:rsidRPr="00594381" w:rsidRDefault="00E57460" w:rsidP="00E57460">
      <w:pPr>
        <w:rPr>
          <w:b/>
          <w:bCs/>
        </w:rPr>
      </w:pPr>
      <w:r w:rsidRPr="00594381">
        <w:rPr>
          <w:b/>
          <w:bCs/>
        </w:rPr>
        <w:t>4. Presentation and Formatting</w:t>
      </w:r>
    </w:p>
    <w:tbl>
      <w:tblPr>
        <w:tblStyle w:val="TableGrid"/>
        <w:tblW w:w="0" w:type="auto"/>
        <w:tblLook w:val="04A0" w:firstRow="1" w:lastRow="0" w:firstColumn="1" w:lastColumn="0" w:noHBand="0" w:noVBand="1"/>
      </w:tblPr>
      <w:tblGrid>
        <w:gridCol w:w="9350"/>
      </w:tblGrid>
      <w:tr w:rsidR="00594381" w14:paraId="1D6319F7" w14:textId="77777777" w:rsidTr="00E25C21">
        <w:tc>
          <w:tcPr>
            <w:tcW w:w="9350" w:type="dxa"/>
            <w:shd w:val="clear" w:color="auto" w:fill="FFF2CC" w:themeFill="accent4" w:themeFillTint="33"/>
          </w:tcPr>
          <w:p w14:paraId="1E9A44B8" w14:textId="77777777" w:rsidR="00594381" w:rsidRPr="006F7EA2" w:rsidRDefault="00594381" w:rsidP="00E25C21">
            <w:pPr>
              <w:rPr>
                <w:b/>
                <w:bCs/>
              </w:rPr>
            </w:pPr>
            <w:r w:rsidRPr="00D238B2">
              <w:rPr>
                <w:b/>
                <w:bCs/>
              </w:rPr>
              <w:t>Comment:</w:t>
            </w:r>
          </w:p>
          <w:p w14:paraId="1F4B0DF4" w14:textId="198C1B60" w:rsidR="00594381" w:rsidRDefault="00594381" w:rsidP="00594381">
            <w:pPr>
              <w:jc w:val="both"/>
            </w:pPr>
            <w:r w:rsidRPr="00E57460">
              <w:t>• Figure Quality and Labels: Several figures (e.g., Fig. 1 to 13) are referenced but the actual graphical data must be clearly legible, with all axes properly labeled and units provided</w:t>
            </w:r>
          </w:p>
        </w:tc>
      </w:tr>
      <w:tr w:rsidR="00594381" w:rsidRPr="006F7EA2" w14:paraId="3C5A3B67" w14:textId="77777777" w:rsidTr="00E25C21">
        <w:tc>
          <w:tcPr>
            <w:tcW w:w="9350" w:type="dxa"/>
            <w:shd w:val="clear" w:color="auto" w:fill="F9CEFA"/>
          </w:tcPr>
          <w:p w14:paraId="7DE7E7C7" w14:textId="77777777" w:rsidR="00594381" w:rsidRPr="001276FF" w:rsidRDefault="00594381" w:rsidP="00E25C21">
            <w:pPr>
              <w:rPr>
                <w:b/>
                <w:bCs/>
              </w:rPr>
            </w:pPr>
            <w:r w:rsidRPr="001276FF">
              <w:rPr>
                <w:b/>
                <w:bCs/>
              </w:rPr>
              <w:t>Response:</w:t>
            </w:r>
          </w:p>
          <w:p w14:paraId="44B3AF55" w14:textId="7C8130D1" w:rsidR="00594381" w:rsidRPr="00D238B2" w:rsidRDefault="00D238B2" w:rsidP="00D238B2">
            <w:pPr>
              <w:jc w:val="both"/>
              <w:rPr>
                <w:highlight w:val="cyan"/>
              </w:rPr>
            </w:pPr>
            <w:r w:rsidRPr="001276FF">
              <w:t xml:space="preserve">With sincere appreciation for the reviewer’s careful attention and constructive comment, we thoroughly reviewed and revised all figures (Figs. 1–13) and corrected the identified issues. Specifically, the legends and numeric annotations were refined, figure titles and axis units/scales were standardized and completed, and all </w:t>
            </w:r>
            <w:r w:rsidR="001276FF" w:rsidRPr="001276FF">
              <w:t>figures</w:t>
            </w:r>
            <w:r w:rsidRPr="001276FF">
              <w:t xml:space="preserve"> were re-exported at appropriate size and high resolution to ensure clear legibility in the final manuscript.</w:t>
            </w:r>
          </w:p>
        </w:tc>
      </w:tr>
      <w:tr w:rsidR="00594381" w:rsidRPr="006F7EA2" w14:paraId="2A9DC48A" w14:textId="77777777" w:rsidTr="00E25C21">
        <w:tc>
          <w:tcPr>
            <w:tcW w:w="9350" w:type="dxa"/>
            <w:shd w:val="clear" w:color="auto" w:fill="E2EFD9" w:themeFill="accent6" w:themeFillTint="33"/>
          </w:tcPr>
          <w:p w14:paraId="56B7AD53" w14:textId="77777777" w:rsidR="00594381" w:rsidRPr="001276FF" w:rsidRDefault="00594381" w:rsidP="00E25C21">
            <w:pPr>
              <w:rPr>
                <w:b/>
                <w:bCs/>
                <w:color w:val="EE0000"/>
                <w:rtl/>
              </w:rPr>
            </w:pPr>
            <w:r w:rsidRPr="001276FF">
              <w:rPr>
                <w:b/>
                <w:bCs/>
                <w:color w:val="EE0000"/>
              </w:rPr>
              <w:t>Action:</w:t>
            </w:r>
          </w:p>
          <w:p w14:paraId="6CA5AAFE" w14:textId="4BF6EE55" w:rsidR="00D238B2" w:rsidRPr="001276FF" w:rsidRDefault="00D238B2" w:rsidP="001276FF">
            <w:pPr>
              <w:spacing w:line="360" w:lineRule="auto"/>
              <w:jc w:val="both"/>
            </w:pPr>
            <w:r w:rsidRPr="001276FF">
              <w:t xml:space="preserve">All figures (Figs. 1–14) </w:t>
            </w:r>
            <w:r w:rsidR="005C7CE8" w:rsidRPr="001276FF">
              <w:t>have been rechecked</w:t>
            </w:r>
            <w:r w:rsidR="00B8107F">
              <w:t xml:space="preserve"> (highlighted)</w:t>
            </w:r>
            <w:r w:rsidR="005C7CE8" w:rsidRPr="001276FF">
              <w:t xml:space="preserve"> and revised</w:t>
            </w:r>
            <w:r w:rsidR="001276FF" w:rsidRPr="001276FF">
              <w:t xml:space="preserve"> based on respectful reviewer concern</w:t>
            </w:r>
            <w:r w:rsidRPr="001276FF">
              <w:t>.</w:t>
            </w:r>
          </w:p>
        </w:tc>
      </w:tr>
    </w:tbl>
    <w:p w14:paraId="0042D2B6" w14:textId="77777777" w:rsidR="00594381" w:rsidRDefault="00594381" w:rsidP="00E57460"/>
    <w:tbl>
      <w:tblPr>
        <w:tblStyle w:val="TableGrid"/>
        <w:tblW w:w="0" w:type="auto"/>
        <w:tblLook w:val="04A0" w:firstRow="1" w:lastRow="0" w:firstColumn="1" w:lastColumn="0" w:noHBand="0" w:noVBand="1"/>
      </w:tblPr>
      <w:tblGrid>
        <w:gridCol w:w="9350"/>
      </w:tblGrid>
      <w:tr w:rsidR="00594381" w14:paraId="263CCF41" w14:textId="77777777" w:rsidTr="00E25C21">
        <w:tc>
          <w:tcPr>
            <w:tcW w:w="9350" w:type="dxa"/>
            <w:shd w:val="clear" w:color="auto" w:fill="FFF2CC" w:themeFill="accent4" w:themeFillTint="33"/>
          </w:tcPr>
          <w:p w14:paraId="66A897CB" w14:textId="77777777" w:rsidR="00594381" w:rsidRPr="006F7EA2" w:rsidRDefault="00594381" w:rsidP="00E25C21">
            <w:pPr>
              <w:rPr>
                <w:b/>
                <w:bCs/>
              </w:rPr>
            </w:pPr>
            <w:r w:rsidRPr="006F7EA2">
              <w:rPr>
                <w:b/>
                <w:bCs/>
              </w:rPr>
              <w:t>Comment:</w:t>
            </w:r>
          </w:p>
          <w:p w14:paraId="6CD443E0" w14:textId="344C2359" w:rsidR="00594381" w:rsidRDefault="00594381" w:rsidP="00594381">
            <w:pPr>
              <w:jc w:val="both"/>
            </w:pPr>
            <w:r w:rsidRPr="00E57460">
              <w:t>• Grammar and Syntax: The manuscript contains several grammatical errors and awkward phrasing (e.g., "The move to RES outcomes promises advancements..." "HT will supply a reliable backup to heating safe...</w:t>
            </w:r>
            <w:r w:rsidR="00C43B3D" w:rsidRPr="00E57460">
              <w:t>”)</w:t>
            </w:r>
            <w:r w:rsidRPr="00E57460">
              <w:t>. A thorough professional English edit is required.</w:t>
            </w:r>
          </w:p>
        </w:tc>
      </w:tr>
      <w:tr w:rsidR="00594381" w:rsidRPr="006F7EA2" w14:paraId="6091EBD8" w14:textId="77777777" w:rsidTr="00E25C21">
        <w:tc>
          <w:tcPr>
            <w:tcW w:w="9350" w:type="dxa"/>
            <w:shd w:val="clear" w:color="auto" w:fill="F9CEFA"/>
          </w:tcPr>
          <w:p w14:paraId="05E7B33A" w14:textId="77777777" w:rsidR="00594381" w:rsidRPr="006F7EA2" w:rsidRDefault="00594381" w:rsidP="00E25C21">
            <w:pPr>
              <w:rPr>
                <w:b/>
                <w:bCs/>
              </w:rPr>
            </w:pPr>
            <w:r w:rsidRPr="006F7EA2">
              <w:rPr>
                <w:b/>
                <w:bCs/>
              </w:rPr>
              <w:lastRenderedPageBreak/>
              <w:t>Response:</w:t>
            </w:r>
          </w:p>
          <w:p w14:paraId="24D37DE8" w14:textId="4F2740FA" w:rsidR="00594381" w:rsidRPr="00C35714" w:rsidRDefault="00C35714" w:rsidP="00E25C21">
            <w:r w:rsidRPr="00C35714">
              <w:t xml:space="preserve">With best regards and thank you for this important and constructive comment. The manuscript </w:t>
            </w:r>
            <w:r>
              <w:t>rechecked and revised due to enhance readability and avoid grammatical errors.</w:t>
            </w:r>
          </w:p>
        </w:tc>
      </w:tr>
      <w:tr w:rsidR="00594381" w:rsidRPr="006F7EA2" w14:paraId="16C07704" w14:textId="77777777" w:rsidTr="00E25C21">
        <w:tc>
          <w:tcPr>
            <w:tcW w:w="9350" w:type="dxa"/>
            <w:shd w:val="clear" w:color="auto" w:fill="E2EFD9" w:themeFill="accent6" w:themeFillTint="33"/>
          </w:tcPr>
          <w:p w14:paraId="52FA051A" w14:textId="77777777" w:rsidR="00594381" w:rsidRDefault="00594381" w:rsidP="00E25C21">
            <w:pPr>
              <w:rPr>
                <w:b/>
                <w:bCs/>
                <w:color w:val="EE0000"/>
              </w:rPr>
            </w:pPr>
            <w:r w:rsidRPr="00783539">
              <w:rPr>
                <w:b/>
                <w:bCs/>
                <w:color w:val="EE0000"/>
              </w:rPr>
              <w:t>Action:</w:t>
            </w:r>
          </w:p>
          <w:p w14:paraId="5911B102" w14:textId="5E98B5BE" w:rsidR="00C35714" w:rsidRPr="00C35714" w:rsidRDefault="00C35714" w:rsidP="00E25C21">
            <w:r w:rsidRPr="00C35714">
              <w:t xml:space="preserve">the words/sentences </w:t>
            </w:r>
            <w:r w:rsidR="005C7CE8">
              <w:t xml:space="preserve">checked and edited with </w:t>
            </w:r>
            <w:r w:rsidR="00F861B1" w:rsidRPr="00F861B1">
              <w:rPr>
                <w:color w:val="323E4F" w:themeColor="text2" w:themeShade="BF"/>
              </w:rPr>
              <w:t>(blue-</w:t>
            </w:r>
            <w:r w:rsidR="005C7CE8" w:rsidRPr="00F861B1">
              <w:rPr>
                <w:color w:val="323E4F" w:themeColor="text2" w:themeShade="BF"/>
              </w:rPr>
              <w:t>gr</w:t>
            </w:r>
            <w:r w:rsidR="00F861B1" w:rsidRPr="00F861B1">
              <w:rPr>
                <w:color w:val="323E4F" w:themeColor="text2" w:themeShade="BF"/>
              </w:rPr>
              <w:t>a</w:t>
            </w:r>
            <w:r w:rsidR="005C7CE8" w:rsidRPr="00F861B1">
              <w:rPr>
                <w:color w:val="323E4F" w:themeColor="text2" w:themeShade="BF"/>
              </w:rPr>
              <w:t>y</w:t>
            </w:r>
            <w:r w:rsidR="00F861B1" w:rsidRPr="00F861B1">
              <w:rPr>
                <w:color w:val="323E4F" w:themeColor="text2" w:themeShade="BF"/>
              </w:rPr>
              <w:t>)</w:t>
            </w:r>
            <w:r w:rsidR="005C7CE8" w:rsidRPr="00F861B1">
              <w:rPr>
                <w:color w:val="323E4F" w:themeColor="text2" w:themeShade="BF"/>
              </w:rPr>
              <w:t xml:space="preserve">. </w:t>
            </w:r>
          </w:p>
        </w:tc>
      </w:tr>
    </w:tbl>
    <w:p w14:paraId="53085DF3" w14:textId="2508C2F4" w:rsidR="00E57460" w:rsidRDefault="00E57460" w:rsidP="00E57460"/>
    <w:tbl>
      <w:tblPr>
        <w:tblStyle w:val="TableGrid"/>
        <w:tblW w:w="0" w:type="auto"/>
        <w:tblLook w:val="04A0" w:firstRow="1" w:lastRow="0" w:firstColumn="1" w:lastColumn="0" w:noHBand="0" w:noVBand="1"/>
      </w:tblPr>
      <w:tblGrid>
        <w:gridCol w:w="9350"/>
      </w:tblGrid>
      <w:tr w:rsidR="00594381" w14:paraId="2EB43E2B" w14:textId="77777777" w:rsidTr="00E25C21">
        <w:tc>
          <w:tcPr>
            <w:tcW w:w="9350" w:type="dxa"/>
            <w:shd w:val="clear" w:color="auto" w:fill="FFF2CC" w:themeFill="accent4" w:themeFillTint="33"/>
          </w:tcPr>
          <w:p w14:paraId="0E8297F0" w14:textId="77777777" w:rsidR="00594381" w:rsidRPr="006F7EA2" w:rsidRDefault="00594381" w:rsidP="00E25C21">
            <w:pPr>
              <w:rPr>
                <w:b/>
                <w:bCs/>
              </w:rPr>
            </w:pPr>
            <w:r w:rsidRPr="006F7EA2">
              <w:rPr>
                <w:b/>
                <w:bCs/>
              </w:rPr>
              <w:t>Comment:</w:t>
            </w:r>
          </w:p>
          <w:p w14:paraId="430B9732" w14:textId="60A9AAC8" w:rsidR="00594381" w:rsidRDefault="00594381" w:rsidP="00594381">
            <w:pPr>
              <w:jc w:val="both"/>
            </w:pPr>
            <w:r w:rsidRPr="00E57460">
              <w:t>• Citation Consistency: Ensure all references in the text (e.g., Behera et al., 2025) match the reference list exactly</w:t>
            </w:r>
          </w:p>
        </w:tc>
      </w:tr>
      <w:tr w:rsidR="00594381" w:rsidRPr="006F7EA2" w14:paraId="08C8B0D6" w14:textId="77777777" w:rsidTr="00E25C21">
        <w:tc>
          <w:tcPr>
            <w:tcW w:w="9350" w:type="dxa"/>
            <w:shd w:val="clear" w:color="auto" w:fill="F9CEFA"/>
          </w:tcPr>
          <w:p w14:paraId="53C1CBC4" w14:textId="77777777" w:rsidR="00594381" w:rsidRPr="006F7EA2" w:rsidRDefault="00594381" w:rsidP="00E25C21">
            <w:pPr>
              <w:rPr>
                <w:b/>
                <w:bCs/>
              </w:rPr>
            </w:pPr>
            <w:r w:rsidRPr="006F7EA2">
              <w:rPr>
                <w:b/>
                <w:bCs/>
              </w:rPr>
              <w:t>Response:</w:t>
            </w:r>
          </w:p>
          <w:p w14:paraId="4CB2F75E" w14:textId="08A961D3" w:rsidR="00594381" w:rsidRPr="00115ED6" w:rsidRDefault="00F32B9C" w:rsidP="00115ED6">
            <w:pPr>
              <w:rPr>
                <w:rFonts w:ascii="Amasis MT Pro" w:hAnsi="Amasis MT Pro"/>
                <w:b/>
                <w:color w:val="1F4E79"/>
                <w:sz w:val="26"/>
                <w:szCs w:val="26"/>
                <w:lang w:val="id-ID"/>
              </w:rPr>
            </w:pPr>
            <w:r w:rsidRPr="00F32B9C">
              <w:t>With gratitude for</w:t>
            </w:r>
            <w:r w:rsidR="00115ED6">
              <w:t xml:space="preserve"> precise and constructive</w:t>
            </w:r>
            <w:r w:rsidRPr="00F32B9C">
              <w:t xml:space="preserve"> comment</w:t>
            </w:r>
            <w:r w:rsidR="00115ED6">
              <w:t>. In order to enhance the value and consistency of the paper several references added from ”</w:t>
            </w:r>
            <w:r w:rsidR="00115ED6" w:rsidRPr="00115ED6">
              <w:t>International Journal of Renewable Energy Development</w:t>
            </w:r>
            <w:r w:rsidR="00115ED6">
              <w:t>” journal, and also, all the recent citations have been rechecked to match with the given reference list.</w:t>
            </w:r>
          </w:p>
        </w:tc>
      </w:tr>
      <w:tr w:rsidR="00594381" w:rsidRPr="006F7EA2" w14:paraId="7ED6D9FD" w14:textId="77777777" w:rsidTr="00E25C21">
        <w:tc>
          <w:tcPr>
            <w:tcW w:w="9350" w:type="dxa"/>
            <w:shd w:val="clear" w:color="auto" w:fill="E2EFD9" w:themeFill="accent6" w:themeFillTint="33"/>
          </w:tcPr>
          <w:p w14:paraId="311FE909" w14:textId="77777777" w:rsidR="00091D20" w:rsidRDefault="00594381" w:rsidP="00E25C21">
            <w:pPr>
              <w:rPr>
                <w:b/>
                <w:bCs/>
                <w:color w:val="EE0000"/>
              </w:rPr>
            </w:pPr>
            <w:r w:rsidRPr="00783539">
              <w:rPr>
                <w:b/>
                <w:bCs/>
                <w:color w:val="EE0000"/>
              </w:rPr>
              <w:t>Action:</w:t>
            </w:r>
          </w:p>
          <w:p w14:paraId="1634B37F" w14:textId="28CDDC17" w:rsidR="00594381" w:rsidRPr="006F7EA2" w:rsidRDefault="00091D20" w:rsidP="00E25C21">
            <w:pPr>
              <w:rPr>
                <w:b/>
                <w:bCs/>
              </w:rPr>
            </w:pPr>
            <w:r>
              <w:t>All in-text citations were cross-checked against the reference list, and inconsistencies were corrected.</w:t>
            </w:r>
            <w:r w:rsidR="00662B09">
              <w:t xml:space="preserve"> </w:t>
            </w:r>
          </w:p>
        </w:tc>
      </w:tr>
    </w:tbl>
    <w:p w14:paraId="0BC1BF26" w14:textId="77777777" w:rsidR="00E57460" w:rsidRDefault="00E57460"/>
    <w:sectPr w:rsidR="00E57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asis MT Pro">
    <w:altName w:val="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60"/>
    <w:rsid w:val="00014D9C"/>
    <w:rsid w:val="00024015"/>
    <w:rsid w:val="0003343F"/>
    <w:rsid w:val="00091D20"/>
    <w:rsid w:val="000A75C4"/>
    <w:rsid w:val="000B1A96"/>
    <w:rsid w:val="000C1273"/>
    <w:rsid w:val="000F7119"/>
    <w:rsid w:val="00115ED6"/>
    <w:rsid w:val="001276FF"/>
    <w:rsid w:val="00134936"/>
    <w:rsid w:val="00160F0B"/>
    <w:rsid w:val="001B325A"/>
    <w:rsid w:val="001F1D75"/>
    <w:rsid w:val="00234990"/>
    <w:rsid w:val="0026184D"/>
    <w:rsid w:val="0028307C"/>
    <w:rsid w:val="002A6F49"/>
    <w:rsid w:val="002E7996"/>
    <w:rsid w:val="003259CE"/>
    <w:rsid w:val="00336A2E"/>
    <w:rsid w:val="003A0B58"/>
    <w:rsid w:val="003A17B0"/>
    <w:rsid w:val="003D3F4E"/>
    <w:rsid w:val="003D5737"/>
    <w:rsid w:val="00490560"/>
    <w:rsid w:val="00585094"/>
    <w:rsid w:val="00594381"/>
    <w:rsid w:val="005C7CE8"/>
    <w:rsid w:val="0060755E"/>
    <w:rsid w:val="00625E97"/>
    <w:rsid w:val="00662B09"/>
    <w:rsid w:val="00673172"/>
    <w:rsid w:val="00681947"/>
    <w:rsid w:val="00691255"/>
    <w:rsid w:val="006F75D7"/>
    <w:rsid w:val="006F7EA2"/>
    <w:rsid w:val="00783539"/>
    <w:rsid w:val="007909A6"/>
    <w:rsid w:val="007C01A1"/>
    <w:rsid w:val="007F29C2"/>
    <w:rsid w:val="007F73EB"/>
    <w:rsid w:val="00806C34"/>
    <w:rsid w:val="00880693"/>
    <w:rsid w:val="008A2B4E"/>
    <w:rsid w:val="008A7561"/>
    <w:rsid w:val="008D413A"/>
    <w:rsid w:val="00921D59"/>
    <w:rsid w:val="0092389C"/>
    <w:rsid w:val="0093283B"/>
    <w:rsid w:val="00950625"/>
    <w:rsid w:val="00954F72"/>
    <w:rsid w:val="0099445E"/>
    <w:rsid w:val="009A1C96"/>
    <w:rsid w:val="009D6D5A"/>
    <w:rsid w:val="00A96143"/>
    <w:rsid w:val="00AC23A1"/>
    <w:rsid w:val="00B057EF"/>
    <w:rsid w:val="00B13A82"/>
    <w:rsid w:val="00B2454F"/>
    <w:rsid w:val="00B36F16"/>
    <w:rsid w:val="00B73D23"/>
    <w:rsid w:val="00B8107F"/>
    <w:rsid w:val="00C35714"/>
    <w:rsid w:val="00C40646"/>
    <w:rsid w:val="00C43B3D"/>
    <w:rsid w:val="00CB3054"/>
    <w:rsid w:val="00CC25B6"/>
    <w:rsid w:val="00CD6374"/>
    <w:rsid w:val="00D051CB"/>
    <w:rsid w:val="00D238B2"/>
    <w:rsid w:val="00D24310"/>
    <w:rsid w:val="00DC01CC"/>
    <w:rsid w:val="00E04D5B"/>
    <w:rsid w:val="00E57460"/>
    <w:rsid w:val="00ED72F6"/>
    <w:rsid w:val="00EF162E"/>
    <w:rsid w:val="00F32B9C"/>
    <w:rsid w:val="00F60AE7"/>
    <w:rsid w:val="00F861B1"/>
    <w:rsid w:val="00F90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8AB"/>
  <w15:chartTrackingRefBased/>
  <w15:docId w15:val="{768EAE64-DF68-4473-B8DD-6757BF7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460"/>
    <w:rPr>
      <w:rFonts w:eastAsiaTheme="majorEastAsia" w:cstheme="majorBidi"/>
      <w:color w:val="272727" w:themeColor="text1" w:themeTint="D8"/>
    </w:rPr>
  </w:style>
  <w:style w:type="paragraph" w:styleId="Title">
    <w:name w:val="Title"/>
    <w:basedOn w:val="Normal"/>
    <w:next w:val="Normal"/>
    <w:link w:val="TitleChar"/>
    <w:uiPriority w:val="10"/>
    <w:qFormat/>
    <w:rsid w:val="00E5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460"/>
    <w:pPr>
      <w:spacing w:before="160"/>
      <w:jc w:val="center"/>
    </w:pPr>
    <w:rPr>
      <w:i/>
      <w:iCs/>
      <w:color w:val="404040" w:themeColor="text1" w:themeTint="BF"/>
    </w:rPr>
  </w:style>
  <w:style w:type="character" w:customStyle="1" w:styleId="QuoteChar">
    <w:name w:val="Quote Char"/>
    <w:basedOn w:val="DefaultParagraphFont"/>
    <w:link w:val="Quote"/>
    <w:uiPriority w:val="29"/>
    <w:rsid w:val="00E57460"/>
    <w:rPr>
      <w:i/>
      <w:iCs/>
      <w:color w:val="404040" w:themeColor="text1" w:themeTint="BF"/>
    </w:rPr>
  </w:style>
  <w:style w:type="paragraph" w:styleId="ListParagraph">
    <w:name w:val="List Paragraph"/>
    <w:basedOn w:val="Normal"/>
    <w:uiPriority w:val="34"/>
    <w:qFormat/>
    <w:rsid w:val="00E57460"/>
    <w:pPr>
      <w:ind w:left="720"/>
      <w:contextualSpacing/>
    </w:pPr>
  </w:style>
  <w:style w:type="character" w:styleId="IntenseEmphasis">
    <w:name w:val="Intense Emphasis"/>
    <w:basedOn w:val="DefaultParagraphFont"/>
    <w:uiPriority w:val="21"/>
    <w:qFormat/>
    <w:rsid w:val="00E57460"/>
    <w:rPr>
      <w:i/>
      <w:iCs/>
      <w:color w:val="2F5496" w:themeColor="accent1" w:themeShade="BF"/>
    </w:rPr>
  </w:style>
  <w:style w:type="paragraph" w:styleId="IntenseQuote">
    <w:name w:val="Intense Quote"/>
    <w:basedOn w:val="Normal"/>
    <w:next w:val="Normal"/>
    <w:link w:val="IntenseQuoteChar"/>
    <w:uiPriority w:val="30"/>
    <w:qFormat/>
    <w:rsid w:val="00E57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460"/>
    <w:rPr>
      <w:i/>
      <w:iCs/>
      <w:color w:val="2F5496" w:themeColor="accent1" w:themeShade="BF"/>
    </w:rPr>
  </w:style>
  <w:style w:type="character" w:styleId="IntenseReference">
    <w:name w:val="Intense Reference"/>
    <w:basedOn w:val="DefaultParagraphFont"/>
    <w:uiPriority w:val="32"/>
    <w:qFormat/>
    <w:rsid w:val="00E57460"/>
    <w:rPr>
      <w:b/>
      <w:bCs/>
      <w:smallCaps/>
      <w:color w:val="2F5496" w:themeColor="accent1" w:themeShade="BF"/>
      <w:spacing w:val="5"/>
    </w:rPr>
  </w:style>
  <w:style w:type="table" w:styleId="TableGrid">
    <w:name w:val="Table Grid"/>
    <w:basedOn w:val="TableNormal"/>
    <w:uiPriority w:val="39"/>
    <w:rsid w:val="006F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1A96"/>
    <w:rPr>
      <w:b/>
      <w:bCs/>
    </w:rPr>
  </w:style>
  <w:style w:type="paragraph" w:customStyle="1" w:styleId="icsmbodytext">
    <w:name w:val="icsm_bodytext"/>
    <w:basedOn w:val="Normal"/>
    <w:rsid w:val="00F60AE7"/>
    <w:pPr>
      <w:spacing w:after="0" w:line="240" w:lineRule="auto"/>
      <w:ind w:firstLine="240"/>
      <w:jc w:val="both"/>
    </w:pPr>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glossaryDocument" Target="glossary/document.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CABBBCBDE496785AFD00CF9393DF9"/>
        <w:category>
          <w:name w:val="General"/>
          <w:gallery w:val="placeholder"/>
        </w:category>
        <w:types>
          <w:type w:val="bbPlcHdr"/>
        </w:types>
        <w:behaviors>
          <w:behavior w:val="content"/>
        </w:behaviors>
        <w:guid w:val="{C9AFDE4D-B085-45B4-B74B-FDD32351F357}"/>
      </w:docPartPr>
      <w:docPartBody>
        <w:p w:rsidR="005671DD" w:rsidRDefault="0073294C" w:rsidP="0073294C">
          <w:pPr>
            <w:pStyle w:val="B62CABBBCBDE496785AFD00CF9393DF9"/>
          </w:pPr>
          <w:r w:rsidRPr="009F00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asis MT Pro">
    <w:altName w:val="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4C"/>
    <w:rsid w:val="00134936"/>
    <w:rsid w:val="0028307C"/>
    <w:rsid w:val="005671DD"/>
    <w:rsid w:val="006E0E83"/>
    <w:rsid w:val="0073294C"/>
    <w:rsid w:val="00C65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94C"/>
    <w:rPr>
      <w:color w:val="666666"/>
    </w:rPr>
  </w:style>
  <w:style w:type="paragraph" w:customStyle="1" w:styleId="B62CABBBCBDE496785AFD00CF9393DF9">
    <w:name w:val="B62CABBBCBDE496785AFD00CF9393DF9"/>
    <w:rsid w:val="00732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C569B7-B366-4497-89C9-9E2599A7952B}">
  <we:reference id="wa104382081" version="1.55.1.0" store="en-US" storeType="OMEX"/>
  <we:alternateReferences>
    <we:reference id="wa104382081" version="1.55.1.0" store="wa104382081" storeType="OMEX"/>
  </we:alternateReferences>
  <we:properties>
    <we:property name="MENDELEY_CITATIONS" value="[]"/>
    <we:property name="MENDELEY_CITATIONS_LOCALE_CODE" value="&quot;en-US&quot;"/>
    <we:property name="MENDELEY_CITATIONS_STYLE" value="{&quot;id&quot;:&quot;https://www.zotero.org/styles/jaapa&quot;,&quot;title&quot;:&quot;JAAPA (Journal of the American Academy of Physician Assistants)&quot;,&quot;format&quot;:&quot;numeric&quot;,&quot;defaultLocale&quot;:&quot;en-US&quot;,&quot;isLocaleCodeValid&quot;:true}"/>
    <we:property name="MENDELEY_BIBLIOGRAPHY_IS_DIRTY" value="true"/>
    <we:property name="MENDELEY_BIBLIOGRAPHY_LAST_MODIFIED" value="1770132035678"/>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551</TotalTime>
  <Pages>8</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GDBAco</dc:creator>
  <cp:keywords/>
  <dc:description/>
  <cp:lastModifiedBy>GDBA.co</cp:lastModifiedBy>
  <cp:revision>29</cp:revision>
  <dcterms:created xsi:type="dcterms:W3CDTF">2026-01-26T10:10:00Z</dcterms:created>
  <dcterms:modified xsi:type="dcterms:W3CDTF">2026-02-07T11:54:00Z</dcterms:modified>
</cp:coreProperties>
</file>